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DFG Walter Benjamin Programme</w:t>
      </w:r>
    </w:p>
    <w:p>
      <w:pPr>
        <w:pStyle w:val="Title"/>
      </w:pPr>
      <w:r>
        <w:t xml:space="preserve">Covalency as an Experimental Descriptor of Memristive Switching: the Ce1-xGdxO2-δ Fluorite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24 months (+ return module)</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Walter Benjamin fellowship for a 24-month stay abroad (Stanford University / SLAC); monthly stipend plus allowances [insert current DFG rates]; on return, DFG return funding (up to 12 months, position in Germany) [verify current terms]</w:t>
            </w:r>
          </w:p>
        </w:tc>
      </w:tr>
      <w:tr>
        <w:tc>
          <w:tcPr>
            <w:tcW w:type="dxa" w:w="2400"/>
            <w:shd w:fill="EEF1F5" w:val="clear"/>
            <w:tcMar>
              <w:top w:type="dxa" w:w="50"/>
              <w:left w:type="dxa" w:w="90"/>
              <w:bottom w:type="dxa" w:w="50"/>
              <w:right w:type="dxa" w:w="90"/>
            </w:tcMar>
          </w:tcPr>
          <w:p>
            <w:r>
              <w:rPr>
                <w:b/>
                <w:bCs/>
                <w:sz w:val="19"/>
                <w:szCs w:val="19"/>
              </w:rPr>
              <w:t xml:space="preserve">Funding body</w:t>
            </w:r>
          </w:p>
        </w:tc>
        <w:tc>
          <w:tcPr>
            <w:tcW w:type="dxa" w:w="6672"/>
            <w:tcMar>
              <w:top w:type="dxa" w:w="50"/>
              <w:left w:type="dxa" w:w="90"/>
              <w:bottom w:type="dxa" w:w="50"/>
              <w:right w:type="dxa" w:w="90"/>
            </w:tcMar>
          </w:tcPr>
          <w:p>
            <w:r>
              <w:rPr>
                <w:b w:val="false"/>
                <w:bCs w:val="false"/>
                <w:sz w:val="19"/>
                <w:szCs w:val="19"/>
              </w:rPr>
              <w:t xml:space="preserve">DFG</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Early postdoctoral career phase; application possible at any time (no deadlines)</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DFG proposal format (project description, CV, host confirmation), via elan portal</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Same funding organisation as the planned Emmy Noether group – one continuous DFG track from pilot to group</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switch through field-driven oxygen-vacancy redistribution [1–3], with the vacancy formation energy entering all quantitative models exponentially [3, 4]. Energy research has established the metal–oxygen bond character as the controlling descriptor of this energy [5–8]. My project tests this descriptor logic where it has never been tested: outside the perovskite class, in the fluorite oxide Ce1-xGdxO2-δ (GDC) – the system with the most mature noble-electrode device platform of any candidate screened.</w:t>
      </w:r>
    </w:p>
    <w:p>
      <w:pPr>
        <w:spacing w:after="120"/>
      </w:pPr>
      <w:r>
        <w:t xml:space="preserve">GDC is unique in that criterion 2 – switching at a noble interface – is fulfilled not just for a single composition but for a composition series in the device: Schmitt, Rupp and co-workers demonstrated Pt/Ce1-xGdxO2-δ/Pt crossbars across x = 0…0.2 and showed that the deliberately designed oxygen-vacancy configuration controls the memristive response [9], with the polaronic transport mechanism established separately [11] and a Pt/Sm-doped-ceria/Nb:SrTiO3 variant recently added [12]. The defect-chemical foundation (criterion 1b) is equally strong: vacancy formation and dopant-vacancy association energies as a function of the dopant are quantified by DFT [10], and the experimental defect chemistry of doped ceria – including Pr-doped ceria with its complete defect-equilibrium diagrams and operando spectroscopy of the Ce/Pr valence system [13, 14] – is textbook knowledge of the host group’s field. The open flank is criterion 1a, and precisely this is the project: the covalency axis of ceria runs through the Ce-4f/O-2p hybridisation and the Ce3+/Ce4+ redox couple, quantifiable by Ce-M4,5/L3 XAS and O-K spectroscopy [14, 16], but no systematic XAS descriptor series across the GDC composition range exists. My central hypothesis: the switching figures of merit of the published Pt/GDC/Pt platform scale with an XAS-measured reducibility/covalency descriptor of the Ce–O bond – and the comparison with the perovskite series of my group programme decides whether the descriptor map generalises across structure classes, which is the decisive question for its predictive claim.</w:t>
      </w:r>
    </w:p>
    <w:p>
      <w:pPr>
        <w:spacing w:after="120"/>
      </w:pPr>
      <w:r>
        <w:t xml:space="preserve">Design constraints are addressed openly: the “covalency” axis of a fluorite is of a different nature than the O-2p ligand-hole axis of the perovskites (4f localisation, polaronic transport [11]), grain boundaries can dominate transport in thin films, and Gd tunes primarily the vacancy concentration and association rather than the bond covalency itself [10]. These differences are not a weakness but the point: they make GDC the sharpest available test of which descriptor formulation – O-2p band centre, reducibility, vacancy formation enthalpy – carries across oxide classes.</w:t>
      </w:r>
    </w:p>
    <w:p>
      <w:pPr>
        <w:pStyle w:val="Heading1"/>
        <w:spacing w:after="120" w:before="240"/>
      </w:pPr>
      <w:r>
        <w:t xml:space="preserve">2  Programme fit and strategy</w:t>
      </w:r>
    </w:p>
    <w:p>
      <w:pPr>
        <w:spacing w:after="120"/>
      </w:pPr>
      <w:r>
        <w:t xml:space="preserve">The Walter Benjamin Programme funds the project as a 24-month fellowship at the place best suited to it – the Chueh group at Stanford – and its return module (up to 12 months, position in Germany) bridges directly into the Emmy Noether application: reviewers see the entire path (pilot project → return → junior research group) within one funding organisation, with the COMET-Ox group proposal as the declared perspective.</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[17–19]. The group’s seminal work on the redox activity of oxygen anions in oxygen-deficient perovskites [18] is a direct methodological blueprint for my project; the Nature Materials study on atomically defined LaNiO3 surfaces [19]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w:t>
      </w:r>
    </w:p>
    <w:p>
      <w:pPr>
        <w:pStyle w:val="Heading1"/>
        <w:spacing w:after="120" w:before="240"/>
      </w:pPr>
      <w:r>
        <w:t xml:space="preserve">4  Work programme</w:t>
      </w:r>
    </w:p>
    <w:p>
      <w:pPr>
        <w:spacing w:after="120"/>
      </w:pPr>
      <w:r>
        <w:rPr>
          <w:b/>
          <w:bCs/>
        </w:rPr>
        <w:t xml:space="preserve">WP1 – Synthesis and descriptor measurement (months 1–10)</w:t>
      </w:r>
    </w:p>
    <w:p>
      <w:pPr>
        <w:spacing w:after="120"/>
      </w:pPr>
      <w:r>
        <w:t xml:space="preserve">PLD growth of epitaxial and textured Ce1-xGdxO2-δ films (x = 0; 0.05; 0.1; 0.15; 0.2, replicating the published crossbar compositions [9]) on YSZ-buffered and Nb:SrTiO3 substrates in the Stanford/SLAC thin-film laboratories; structural validation (XRD, AFM), stoichiometry (XPS, RBS where required); p(O2)-annealing protocol for δ-control. In parallel, first XAS campaign at SSRL: Ce-M4,5/L3 and O-K quantification of the Ce3+ fraction and Ce4f–O2p hybridisation for every composition and annealing state [14, 16] → the first experimental covalency/reducibility scale of the GDC series. Milestone M1 (month 10): validated sample series with complete descriptor set.</w:t>
      </w:r>
    </w:p>
    <w:p>
      <w:pPr>
        <w:spacing w:after="120"/>
      </w:pPr>
      <w:r>
        <w:rPr>
          <w:b/>
          <w:bCs/>
        </w:rPr>
        <w:t xml:space="preserve">WP2 – Devices and switching characterisation (months 8–18)</w:t>
      </w:r>
    </w:p>
    <w:p>
      <w:pPr>
        <w:spacing w:after="120"/>
      </w:pPr>
      <w:r>
        <w:t xml:space="preserve">Pt/GDC/Pt crossbar and pad devices replicating the published platform [9] (≥ 30 nominally identical cells per composition), plus Pt/GDC/Nb:SrTiO3 as second flavour [12]; quasistatic and pulsed characterisation under the statistics protocol established in my doctorate (ON/OFF, forming, kinetics, retention, endurance). Milestone M2 (month 18): switching figures of merit as a function of x and δ with robust statistics on the established platform.</w:t>
      </w:r>
    </w:p>
    <w:p>
      <w:pPr>
        <w:spacing w:after="120"/>
      </w:pPr>
      <w:r>
        <w:rPr>
          <w:b/>
          <w:bCs/>
        </w:rPr>
        <w:t xml:space="preserve">WP3 – Correlation, operando validation and publication (months 16–24)</w:t>
      </w:r>
    </w:p>
    <w:p>
      <w:pPr>
        <w:spacing w:after="120"/>
      </w:pPr>
      <w:r>
        <w:t xml:space="preserve">Correlation analysis XAS descriptor ↔ defect-chemical EV/association [10, 13] ↔ switching metrics; cross-class comparison with the perovskite descriptor data of the group programme. Second SSRL campaign: XAS on switched crossbars (ex-situ before/after switching, operando if successful). Publication of the first covalency-resolved fluorite memristor study; dataset released following FAIR principles. Milestone M3 (month 24): submitted publication(s), public dataset.</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72"/>
        <w:gridCol w:w="775"/>
        <w:gridCol w:w="775"/>
        <w:gridCol w:w="775"/>
        <w:gridCol w:w="775"/>
        <w:gridCol w:w="775"/>
        <w:gridCol w:w="775"/>
        <w:gridCol w:w="775"/>
        <w:gridCol w:w="775"/>
      </w:tblGrid>
      <w:tr>
        <w:tc>
          <w:tcPr>
            <w:tcW w:type="dxa" w:w="2872"/>
            <w:shd w:fill="EEF1F5" w:val="clear"/>
            <w:tcMar>
              <w:top w:type="dxa" w:w="50"/>
              <w:left w:type="dxa" w:w="90"/>
              <w:bottom w:type="dxa" w:w="50"/>
              <w:right w:type="dxa" w:w="90"/>
            </w:tcMar>
          </w:tcPr>
          <w:p>
            <w:r>
              <w:rPr>
                <w:b/>
                <w:bCs/>
                <w:sz w:val="19"/>
                <w:szCs w:val="19"/>
              </w:rPr>
              <w:t xml:space="preserve">Work package</w:t>
            </w:r>
          </w:p>
        </w:tc>
        <w:tc>
          <w:tcPr>
            <w:tcW w:type="dxa" w:w="775"/>
            <w:shd w:fill="EEF1F5" w:val="clear"/>
            <w:tcMar>
              <w:top w:type="dxa" w:w="50"/>
              <w:left w:type="dxa" w:w="90"/>
              <w:bottom w:type="dxa" w:w="50"/>
              <w:right w:type="dxa" w:w="90"/>
            </w:tcMar>
          </w:tcPr>
          <w:p>
            <w:r>
              <w:rPr>
                <w:b/>
                <w:bCs/>
                <w:sz w:val="19"/>
                <w:szCs w:val="19"/>
              </w:rPr>
              <w:t xml:space="preserve">Q1</w:t>
            </w:r>
          </w:p>
        </w:tc>
        <w:tc>
          <w:tcPr>
            <w:tcW w:type="dxa" w:w="775"/>
            <w:shd w:fill="EEF1F5" w:val="clear"/>
            <w:tcMar>
              <w:top w:type="dxa" w:w="50"/>
              <w:left w:type="dxa" w:w="90"/>
              <w:bottom w:type="dxa" w:w="50"/>
              <w:right w:type="dxa" w:w="90"/>
            </w:tcMar>
          </w:tcPr>
          <w:p>
            <w:r>
              <w:rPr>
                <w:b/>
                <w:bCs/>
                <w:sz w:val="19"/>
                <w:szCs w:val="19"/>
              </w:rPr>
              <w:t xml:space="preserve">Q2</w:t>
            </w:r>
          </w:p>
        </w:tc>
        <w:tc>
          <w:tcPr>
            <w:tcW w:type="dxa" w:w="775"/>
            <w:shd w:fill="EEF1F5" w:val="clear"/>
            <w:tcMar>
              <w:top w:type="dxa" w:w="50"/>
              <w:left w:type="dxa" w:w="90"/>
              <w:bottom w:type="dxa" w:w="50"/>
              <w:right w:type="dxa" w:w="90"/>
            </w:tcMar>
          </w:tcPr>
          <w:p>
            <w:r>
              <w:rPr>
                <w:b/>
                <w:bCs/>
                <w:sz w:val="19"/>
                <w:szCs w:val="19"/>
              </w:rPr>
              <w:t xml:space="preserve">Q3</w:t>
            </w:r>
          </w:p>
        </w:tc>
        <w:tc>
          <w:tcPr>
            <w:tcW w:type="dxa" w:w="775"/>
            <w:shd w:fill="EEF1F5" w:val="clear"/>
            <w:tcMar>
              <w:top w:type="dxa" w:w="50"/>
              <w:left w:type="dxa" w:w="90"/>
              <w:bottom w:type="dxa" w:w="50"/>
              <w:right w:type="dxa" w:w="90"/>
            </w:tcMar>
          </w:tcPr>
          <w:p>
            <w:r>
              <w:rPr>
                <w:b/>
                <w:bCs/>
                <w:sz w:val="19"/>
                <w:szCs w:val="19"/>
              </w:rPr>
              <w:t xml:space="preserve">Q4</w:t>
            </w:r>
          </w:p>
        </w:tc>
        <w:tc>
          <w:tcPr>
            <w:tcW w:type="dxa" w:w="775"/>
            <w:shd w:fill="EEF1F5" w:val="clear"/>
            <w:tcMar>
              <w:top w:type="dxa" w:w="50"/>
              <w:left w:type="dxa" w:w="90"/>
              <w:bottom w:type="dxa" w:w="50"/>
              <w:right w:type="dxa" w:w="90"/>
            </w:tcMar>
          </w:tcPr>
          <w:p>
            <w:r>
              <w:rPr>
                <w:b/>
                <w:bCs/>
                <w:sz w:val="19"/>
                <w:szCs w:val="19"/>
              </w:rPr>
              <w:t xml:space="preserve">Q5</w:t>
            </w:r>
          </w:p>
        </w:tc>
        <w:tc>
          <w:tcPr>
            <w:tcW w:type="dxa" w:w="775"/>
            <w:shd w:fill="EEF1F5" w:val="clear"/>
            <w:tcMar>
              <w:top w:type="dxa" w:w="50"/>
              <w:left w:type="dxa" w:w="90"/>
              <w:bottom w:type="dxa" w:w="50"/>
              <w:right w:type="dxa" w:w="90"/>
            </w:tcMar>
          </w:tcPr>
          <w:p>
            <w:r>
              <w:rPr>
                <w:b/>
                <w:bCs/>
                <w:sz w:val="19"/>
                <w:szCs w:val="19"/>
              </w:rPr>
              <w:t xml:space="preserve">Q6</w:t>
            </w:r>
          </w:p>
        </w:tc>
        <w:tc>
          <w:tcPr>
            <w:tcW w:type="dxa" w:w="775"/>
            <w:shd w:fill="EEF1F5" w:val="clear"/>
            <w:tcMar>
              <w:top w:type="dxa" w:w="50"/>
              <w:left w:type="dxa" w:w="90"/>
              <w:bottom w:type="dxa" w:w="50"/>
              <w:right w:type="dxa" w:w="90"/>
            </w:tcMar>
          </w:tcPr>
          <w:p>
            <w:r>
              <w:rPr>
                <w:b/>
                <w:bCs/>
                <w:sz w:val="19"/>
                <w:szCs w:val="19"/>
              </w:rPr>
              <w:t xml:space="preserve">Q7</w:t>
            </w:r>
          </w:p>
        </w:tc>
        <w:tc>
          <w:tcPr>
            <w:tcW w:type="dxa" w:w="775"/>
            <w:shd w:fill="EEF1F5" w:val="clear"/>
            <w:tcMar>
              <w:top w:type="dxa" w:w="50"/>
              <w:left w:type="dxa" w:w="90"/>
              <w:bottom w:type="dxa" w:w="50"/>
              <w:right w:type="dxa" w:w="90"/>
            </w:tcMar>
          </w:tcPr>
          <w:p>
            <w:r>
              <w:rPr>
                <w:b/>
                <w:bCs/>
                <w:sz w:val="19"/>
                <w:szCs w:val="19"/>
              </w:rPr>
              <w:t xml:space="preserve">Q8</w:t>
            </w:r>
          </w:p>
        </w:tc>
      </w:tr>
      <w:tr>
        <w:tc>
          <w:tcPr>
            <w:tcW w:type="dxa" w:w="2872"/>
            <w:tcMar>
              <w:top w:type="dxa" w:w="50"/>
              <w:left w:type="dxa" w:w="90"/>
              <w:bottom w:type="dxa" w:w="50"/>
              <w:right w:type="dxa" w:w="90"/>
            </w:tcMar>
          </w:tcPr>
          <w:p>
            <w:r>
              <w:rPr>
                <w:b w:val="false"/>
                <w:bCs w:val="false"/>
                <w:sz w:val="19"/>
                <w:szCs w:val="19"/>
              </w:rPr>
              <w:t xml:space="preserve">WP1 Synthesis + XAS descriptors</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WP2 Devices + switching statistics</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WP3 Correlation + operando + publication</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Germany on descriptor-based materials development for memristive oxides. The Walter Benjamin fellowship funds the 24-month stay; the DFG return module is used for reintegration into the German oxide-electronics environment (FZ Jülich/RWTH Aachen, JARA) and for submission of the Emmy Noether proposal – one continuous DFG track. The choice of GDC is deliberately map-strategic and host-strategic: nonstoichiometric ceria is the host group’s founding material, and the fluorite class is the sharpest available test of which descriptor formulation carries across oxide classes.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R. Schmitt, J. Spring, R. Korobko, J. L. M. Rupp, Design of Oxygen Vacancy Configuration for Memristive Systems. ACS Nano 11, 8881–8891 (2017).</w:t>
      </w:r>
    </w:p>
    <w:p>
      <w:pPr>
        <w:spacing w:after="120"/>
      </w:pPr>
      <w:r>
        <w:rPr>
          <w:sz w:val="18"/>
          <w:szCs w:val="18"/>
        </w:rPr>
        <w:t xml:space="preserve">[10] D. A. Andersson, S. I. Simak, N. V. Skorodumova, I. A. Abrikosov, B. Johansson, Optimization of ionic conductivity in doped ceria. Proceedings of the National Academy of Sciences 103, 3518–3521 (2006).</w:t>
      </w:r>
    </w:p>
    <w:p>
      <w:pPr>
        <w:spacing w:after="120"/>
      </w:pPr>
      <w:r>
        <w:rPr>
          <w:sz w:val="18"/>
          <w:szCs w:val="18"/>
        </w:rPr>
        <w:t xml:space="preserve">[11] Polaronic resistive switching in ceria-based memory devices. Advanced Electronic Materials 5, 1900271 (2019). [complete author list before submission]</w:t>
      </w:r>
    </w:p>
    <w:p>
      <w:pPr>
        <w:spacing w:after="120"/>
      </w:pPr>
      <w:r>
        <w:rPr>
          <w:sz w:val="18"/>
          <w:szCs w:val="18"/>
        </w:rPr>
        <w:t xml:space="preserve">[12] Resistive switching of Pt/Sm0.2Ce0.8O2-x/Nb:SrTiO3 devices. Materials 17, 3360 (2024). [complete author list and exact title before submission]</w:t>
      </w:r>
    </w:p>
    <w:p>
      <w:pPr>
        <w:spacing w:after="120"/>
      </w:pPr>
      <w:r>
        <w:rPr>
          <w:sz w:val="18"/>
          <w:szCs w:val="18"/>
        </w:rPr>
        <w:t xml:space="preserve">[13] S. R. Bishop, T. S. Stefanik, H. L. Tuller, Electrical conductivity and defect equilibria of Pr0.1Ce0.9O2-δ. Physical Chemistry Chemical Physics 13 (2011), DOI 10.1039/c0cp02920c. [complete pages before submission]</w:t>
      </w:r>
    </w:p>
    <w:p>
      <w:pPr>
        <w:spacing w:after="120"/>
      </w:pPr>
      <w:r>
        <w:rPr>
          <w:sz w:val="18"/>
          <w:szCs w:val="18"/>
        </w:rPr>
        <w:t xml:space="preserve">[14] Operando X-ray photoelectron and absorption spectroscopy of the Pr valence system in Pr0.1Ce0.9O2-δ. Chemistry of Materials 30, 2600 (2018). [complete author list and exact title before submission]</w:t>
      </w:r>
    </w:p>
    <w:p>
      <w:pPr>
        <w:spacing w:after="120"/>
      </w:pPr>
      <w:r>
        <w:rPr>
          <w:sz w:val="18"/>
          <w:szCs w:val="18"/>
        </w:rPr>
        <w:t xml:space="preserve">[15]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[16] F. Frati, M. O. J. Y. Hunault, F. M. F. de Groot, Oxygen K-edge X-ray Absorption Spectra. Chemical Reviews 120, 4056–4110 (2020).</w:t>
      </w:r>
    </w:p>
    <w:p>
      <w:pPr>
        <w:spacing w:after="120"/>
      </w:pPr>
      <w:r>
        <w:rPr>
          <w:sz w:val="18"/>
          <w:szCs w:val="18"/>
        </w:rPr>
        <w:t xml:space="preserve">[17]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[18]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[19]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[20] M. Wuttig et al., Revisiting the Nature of Chemical Bonding in Chalcogenides to Explain and Design their Properties. Advanced Materials 35, 2208485 (2023).</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Host confirmation from Prof. Chueh and statement of the German return host required; project description per DFG template.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2026-08-10T07:28:28.454Z</dcterms:created>
  <dcterms:modified xsi:type="dcterms:W3CDTF">2026-08-10T07:28:28.454Z</dcterms:modified>
</cp:coreProperties>
</file>

<file path=docProps/custom.xml><?xml version="1.0" encoding="utf-8"?>
<Properties xmlns="http://schemas.openxmlformats.org/officeDocument/2006/custom-properties" xmlns:vt="http://schemas.openxmlformats.org/officeDocument/2006/docPropsVTypes"/>
</file>