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Cluster-Modell-Re-Screening: CI-Parameterbasis (Δ, U, Transferintegrale) je Materialsystem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Stand: 09.08.2026 · Claude-Code-generiert · Umsetzung des externen Fachfeedbacks (08/2026): Prüfung, für welche Portfolio-Systeme die Konfigurationswechselwirkungs-/Cluster-Modell-Parameter der Fujimori/Bocquet/Saitoh/Sarma- und Sawatzky/Kotani-Schulen publiziert sind – idealerweise als Serie gegen die Stöchiometrie. Drei parallele Literatur-Sweeps; alle Zitate ≥2-fach korroboriert (Verlags-Volltexte hier netzseitig gesperrt; exakte Parametertabellen vor Einreichung am Volltext prüfen).</w:t>
      </w:r>
    </w:p>
    <w:p>
      <w:pPr>
        <w:pStyle w:val="Heading1"/>
        <w:spacing w:after="120" w:before="240"/>
      </w:pPr>
      <w:r>
        <w:t xml:space="preserve">Ergebnis je System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500"/>
        <w:gridCol w:w="4200"/>
        <w:gridCol w:w="2022"/>
      </w:tblGrid>
      <w:tr>
        <w:tc>
          <w:tcPr>
            <w:tcW w:type="dxa" w:w="135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System</w:t>
            </w:r>
          </w:p>
        </w:tc>
        <w:tc>
          <w:tcPr>
            <w:tcW w:type="dxa" w:w="15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Verdikt 1a*</w:t>
            </w:r>
          </w:p>
        </w:tc>
        <w:tc>
          <w:tcPr>
            <w:tcW w:type="dxa" w:w="42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Befund (Schlüsselquellen)</w:t>
            </w:r>
          </w:p>
        </w:tc>
        <w:tc>
          <w:tcPr>
            <w:tcW w:type="dxa" w:w="2022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Konsequenz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 – STF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LÜCKE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Keine CI-/Cluster-Parameterextraktion für Fe:SrTiO3 publiziert (verdünnt oder konzentriert); Vračar 2007 ist EXAFS-Lokalstrukturanalyse ohne Δ/U-Fit. Startparameter existieren: d0-Wirtssystematik (Bocquet, PRB 53, 1161 (1996)) und Fe3+/Fe4+-Endpunkte der Ferrat-Familie (Bocquet, PRB 45, 1561 (1992)).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Eigene CI-Analyse ist expliziter Projektbaustein – wissenschaftlich attraktiv, aber Methodenaufwand einplanen (Cluster-Fit von Fe-2p/Valenzspektren).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 – PCMO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LÜCKE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Für Pr1-xCaxMnO3 selbst bei keiner Komposition Δ/U/(pdσ) publiziert. La-basierte Anker stark: Saitoh, PRB 51, 13942 (1995) (CI-Endglieder LaMnO3: Δ = 4,5 eV, U = 7,8 eV; SrMnO3 d3/d4L); Bocquet, PRB 46, 3771 (1992) (LaMnO3: Δ = 5,0, U = 4,0, T = 3,8 – beachtliche Parameterstreuung zwischen Analysen); Chainani, PRB 47, 15397 (1993). Ebata et al. (PRB 74, 064419 (2006); PRB 76, 174418 (2007)) liefern PCMO-PES über x, aber ohne CI-Fits.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Eigene CI-Analyse (oder La-Parameter-Transfer mit Bandbreitenkorrektur) als Deliverable ausweisen; Parameterstreuung der Literatur als Motivation nutzen.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 – LSFO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TEILWEISE–STARK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Beide Endglieder quantitativ CI-verankert: Bocquet, PRB 45, 1561 (1992) – LaFeO3 (positives Δ, HS d5) und SrFeO3 mit negativem Δeff (d5L-dominiert); modern per HAXPES bestätigt (Takegami, PRB 109, 235138 (2024): Δ ≈ −1,0 eV). Serienspektroskopie mit CI-Anker bei x = 0: Wadati, PRB 71, 035108 (2005); Systematik: Chainani/Sarma, PRB 48, 14818 (1993). Kein kontinuierliches Δ(x) tabelliert.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Endglied-Interpolation ist akzeptierte Praxis; die Serie kreuzt das Vorzeichen von Δ – konzeptionell die reichste Achse (positiver → negativer Ladungstransfer).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 – LSCO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STARK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Stärkste Basis des Portfolios: zwei unabhängige CI-Analysen über die gesamte Serie – Saitoh/Fujimori, PRB 56, 1290 (1997) und Chainani/Sarma, PRB 46, 9976 (1992) (Udd = 3,4 eV, Upp = 6,7 eV, (pdσ) = 2,2 eV) – plus Endglied-Anker LaCoO3 (Saitoh, PRB 55, 4257 (1997), Spin-State-Analyse) und SrCoO3 (Potze/Sawatzky/Abbate, PRB 51, 11501 (1995): IS-Co4+, d6L-dominiert). Caveat: Parameter an Endgliedern gefittet, kein Δ(x) je Komposition.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Stützt die Serie-3-Wahl zusätzlich; Spin-State-Freiheitsgrade bleiben Confounder der Interpretation.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– YBCO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TEILWEISE–STARK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Ebenen-Parametersatz (Δ ≈ 3–3,6 eV, Udd ≈ 6–10 eV, tpd ≈ 1,3–1,5 eV) mehrfach unabhängig kreuzvalidiert: Eskes/Sawatzky, PRL 61, 1415 (1988); Shen/Allen et al., PRB 36, 8414 (1987) (deckt YBCO explizit ab); Ghijsen, PRB 38, 11322 (1988); Hybertsen, PRB 39, 9028 (1989); McMahan, PRB 38, 6650 (1988); Mila, PRB 38, 11358 (1988). δ-abhängige Extraktion dünn (PRB 42, 8044 (1990), umstritten); methodische Warnung: nichtlokale Abschirmung verzerrt Einzelimpurity-Fits (van Veenendaal/Sawatzky, PRB 49, 3473 (1994)).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δ-aufgelöste, ketten-/ebenen-getrennte Parameterextraktion ist genau der Projektbeitrag – Nonlocal-Screening-Korrektur einplanen.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– GDC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TEILWEISE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CeO2-Basis kanonisch: Fujimori, PRB 28, 2281 (1983) (CI: 4f0/4f1L-Grundzustand, nf ≈ 0,6); Wuilloud et al., PRL 53, 202 (1984); Kotani/Jo/Parlebas, Adv. Phys. 37, 37 (1988) (AIM-Parametersätze). Reduktionsabhängig einmalig: Le Normand, Solid State Commun. 71, 885 (1989). LÜCKE: keine AIM-Parameter als Funktion von Gd-Gehalt oder δ – GDC-XPS-Literatur macht nur Ce3+/Ce4+-Peakquantifizierung.</w:t>
            </w:r>
          </w:p>
        </w:tc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Eigener Beitrag: erste AIM-Parametrik vs. (x, δ). Rahmenwechsel beachten: 4f-Impurity-Modell, nicht d-Elektronen-Cluster – Parameter nicht auf Perowskite übertragbar.</w:t>
            </w:r>
          </w:p>
        </w:tc>
      </w:tr>
    </w:tbl>
    <w:p>
      <w:pPr>
        <w:pStyle w:val="Heading1"/>
        <w:spacing w:after="120" w:before="240"/>
      </w:pPr>
      <w:r>
        <w:t xml:space="preserve">Portfolioweite Konsequenzen</w:t>
      </w:r>
    </w:p>
    <w:p>
      <w:pPr>
        <w:spacing w:after="100"/>
      </w:pPr>
      <w:r>
        <w:t xml:space="preserve">1. Rangfolge auf der neuen Achse 1a* (CI-Parameterbasis): LSCO (zwei unabhängige Serienanalysen) &gt; LSFO ≈ YBCO (Endglieder/Ebene kreuzvalidiert, Serien-/δ-Auflösung offen) &gt; GDC (Basis kanonisch, Dotierungs-Parametrik fehlt) &gt; PCMO ≈ STF (Lücke – eigene CI-Analyse erforderlich).</w:t>
      </w:r>
    </w:p>
    <w:p>
      <w:pPr>
        <w:spacing w:after="100"/>
      </w:pPr>
      <w:r>
        <w:t xml:space="preserve">2. Die Lücken sind als Projektbeiträge formulierbar: Für STF und PCMO wird die eigene Cluster-Modell-Analyse (Fe-2p/Mn-2p, Valenzband, XAS) zum expliziten Deliverable – mit publizierten Startparametern (d0-Wirt, La-Endglieder, Ferrat-Endpunkte). Für YBCO ist die δ-aufgelöste, ketten-/ebenen-getrennte Extraktion der Beitrag (Nonlocal-Screening-Korrektur nach van Veenendaal/Sawatzky einplanen); für GDC die erste AIM-Parametrik vs. (x, δ).</w:t>
      </w:r>
    </w:p>
    <w:p>
      <w:pPr>
        <w:spacing w:after="100"/>
      </w:pPr>
      <w:r>
        <w:t xml:space="preserve">3. Konzeptioneller Gewinn für die „Treasure Map“: Das Portfolio spannt jetzt nachweislich die Ladungstransfer-Systematik auf – von positivem Δ (LaFeO3, LaMnO3) über negatives Δ (SrFeO3, SrCoO3-Umfeld) bis zum d9-Kuprat-Regime und zum 4f-Impurity-Fall (Ceria). Damit wird die Karte entlang der physikalisch fundierten Bindungsklassen der Grundlagenliteratur aufgebaut – exakt die konzeptionelle Abhebung von der Katalyseliteratur, die das Fachfeedback gefordert hat.</w:t>
      </w:r>
    </w:p>
    <w:p>
      <w:pPr>
        <w:spacing w:after="100"/>
      </w:pPr>
      <w:r>
        <w:t xml:space="preserve">4. Zwei Parameter-Rahmen im Antrag ausweisen: d-Elektronen-Cluster-Modell (Perowskite, Kuprate) und 4f-Anderson-Impurity-Modell (Ceria); Parameter sind nicht übertragbar.</w:t>
      </w:r>
    </w:p>
    <w:p>
      <w:pPr>
        <w:spacing w:after="100"/>
      </w:pPr>
      <w:r>
        <w:t xml:space="preserve">5. Restpunkte: exakte Parametertabellen (Bocquet 1992/PRB 45 u. 46, Saitoh 1995/1997, Wadati 2005, Shen 1987) am Volltext prüfen; Parameterstreuung zwischen Analysen (z. B. LaMnO3: U = 7,8 vs. 4,0 eV) im Antrag offen benennen; moderne Analyse-Werkzeuge (CTM4XAS/Quanty) für die eigenen Fits festlegen.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2026-08-10T20:18:50.608Z</dcterms:created>
  <dcterms:modified xsi:type="dcterms:W3CDTF">2026-08-10T20:18:50.613Z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