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SrTi1-xFexO3-δ Model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system SrTi1-xFexO3-δ (STF), the one perovskite series in which intrinsic switching, an inert/graphene electrode platform and a quantitatively mapped defect chemistry already coexist. A decisive design requirement drives this choice: in many perovskite memristors – including Pr0.7Ca0.3MnO3, the system of my own doctorate – robust switching requires a reactive metal electrode, and the oxygen exchange with the resulting second oxide (TiOx, AlOx) then dominates the mechanism [23, 24]. A clean covalency study must instead use a system whose oxygen balance stays inside the oxide.</w:t>
      </w:r>
    </w:p>
    <w:p>
      <w:pPr>
        <w:spacing w:after="120"/>
      </w:pPr>
      <w:r>
        <w:t xml:space="preserve">STF is the ideal test system for a clean covalency study, for three reasons. (i) The covalency/reducibility axis is quantitatively mapped: STF forms a continuous cubic solid solution between SrTiO3 and SrFeO3-δ, and its defect chemistry is known in closed form – band gap Eg(x) = 3.2 − 1.9x + 0.5x² eV and reduction enthalpy ΔHred(x) = 5.8 − 3.4x + 1.7x² eV [9]; the Fe–O hybridisation across the series is documented by X-ray absorption [10–12]. The Fe content thus tunes the ease of oxygen-vacancy formation continuously within one perovskite host – the descriptor axis of this project, with literature values to test against. (ii) The switching axis is intrinsic – no reactive electrode required: Fe-doped SrTiO3 devices with inert electrodes switch via oxygen-vacancy modulation of the Schottky barrier (“eightwise”) as well as via intrinsic filaments [13, 14, 30]; Cr-doped SrTiO3 switches with inert electrodes with operando-XAS-proven vacancy drift [15]; and spectromicroscopy has traced the mechanism to oxygen migration and Ti valence changes within the oxide itself [16]. Crucially, the photoelectron-transparent graphene top-electrode platform has been demonstrated on exactly this materials system [17, 18]. Graphene is not merely convenient here but scientifically necessary: 18O-tracer and humidity studies show that under permeable electrodes, eightwise switching exchanges oxygen with ambient water [19, 20] – only a gas-tight (graphene-sealed) electrode makes the oxygen balance truly internal and the covalency–switching correlation unambiguous. (iii) The mechanism is stable across the series: for x ≤ 0.3, STF remains a cubic, p-type semiconducting perovskite – no topotactic brownmillerite transition and no metal–insulator transition interferes [9], in deliberate contrast to the manganite, ferrite and cobaltite families. The gap: a systematic Fe-content series in epitaxial devices under inert/graphene electrodes does not exist – published composition series were measured either with reactive electrodes (Ti/Pr1-xCaxMnO3 [23], where the electrode oxide dominates the mechanism [24]) or on polycrystalline films in a narrow composition window [22, 31]. That stoichiometry can control switching at a noble-metal interface has, however, been demonstrated on the closest possible platform – for the cation (Sr/Ti) stoichiometry of Pt/SrTiO3 junctions [32]; the covalency-controlling Fe content is precisely the missing series. My central hypothesis: the switching figures of merit of intrinsic STF devices scale with the covalency/reduction-enthalpy descriptor, with an optimum of the usable window at intermediate x – and the descriptor is measured, not merely computed [11].</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[33] and as extracted compound by compound by the configuration-interaction analyses of Fujimori, Bocquet, Saitoh, Sarma and co-workers [34–37]. O-K pre-edge intensities serve as a relative, series-internal hybridisation measure only; their limits as an absolute covalency scale (core-hole effects, ligand-hole distribution, band effects) are treated explicitly [38],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no cluster-model parameter extraction exists for Fe in SrTiO3 – the project’s own CI analysis is therefore an explicit deliverable, starting from the published d0 host systematics [39] and the Fe3+/Fe4+ end-point parameters of the ferrate family [40].</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territory. The group’s seminal work on the redox activity of oxygen anions in oxygen-deficient perovskites [26] is a direct methodological blueprint for my project; the Nature Materials study on atomically defined LaNiO3 surfaces [27]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 the very school that established both the Fe:SrTiO3 switching platform and the graphene-electrode spectroscopy concept [13, 16–18], whose processing and metrology I know first-hand. This two-sided fit is the strongest possible de-risking for a 24-month project: the device platform is proven Jülich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STF series (months 1–10)</w:t>
      </w:r>
    </w:p>
    <w:p>
      <w:pPr>
        <w:spacing w:after="120"/>
      </w:pPr>
      <w:r>
        <w:t xml:space="preserve">PLD growth of epitaxial SrTi1-xFexO3-δ films (x = 0; 0.02; 0.05; 0.1; 0.2; 0.3 – from the dilute-dopant regime of the established Fe:SrTiO3 devices [13] into the mixed-conducting regime, safely below the vacancy-ordering region) on Nb:SrTiO3 substrates in the Stanford/SLAC thin-film laboratories; structural validation (XRD, AFM); cation and oxygen stoichiometry (XPS, RBS where required). In parallel, first XAS campaign at SSRL: Fe-L2,3 and Ti-L2,3 valence analysis and O-K pre-edge quantification following [11] for every composition → experimental covalency scale of the series, benchmarked against the closed-form defect model [9] and the published STF spectroscopy [10]. Milestone M1 (month 10): validated sample series with complete descriptor set.</w:t>
      </w:r>
    </w:p>
    <w:p>
      <w:pPr>
        <w:spacing w:after="120"/>
      </w:pPr>
      <w:r>
        <w:rPr>
          <w:b/>
          <w:bCs/>
        </w:rPr>
        <w:t xml:space="preserve">WP2 – Intrinsic devices and switching characterisation (months 8–18)</w:t>
      </w:r>
    </w:p>
    <w:p>
      <w:pPr>
        <w:spacing w:after="120"/>
      </w:pPr>
      <w:r>
        <w:t xml:space="preserve">Two inert top-electrode flavours per composition, processed photolithographically with ≥ 30 nominally identical cells each: (i) Pt pads as the workhorse geometry, and (ii) graphene-sealed cells – photoelectron-transparent and gas-tight, following the platform demonstrated on SrTiO3 [17, 18] – which keep the oxygen balance strictly internal [19, 20] and remain spectroscopy-ready. Interface control against unintentional layers follows the lessons of [21] (epitaxial platform, reference samples). Quasistatic and pulsed characterisation of the eightwise regime [13, 14, 29] under the statistics protocol established in my doctorate (ON/OFF at defined read-out voltage, forming requirement, kinetics, temperature-accelerated retention, endurance). Milestone M2 (month 18): switching figures of merit as a function of x, in both geometries, with robust statistics.</w:t>
      </w:r>
    </w:p>
    <w:p>
      <w:pPr>
        <w:spacing w:after="120"/>
      </w:pPr>
      <w:r>
        <w:rPr>
          <w:b/>
          <w:bCs/>
        </w:rPr>
        <w:t xml:space="preserve">WP3 – Correlation, operando validation and publication (months 16–24)</w:t>
      </w:r>
    </w:p>
    <w:p>
      <w:pPr>
        <w:spacing w:after="120"/>
      </w:pPr>
      <w:r>
        <w:t xml:space="preserve">Correlation analysis covalency (XAS) ↔ ΔHred/EV (defect model [9], descriptor models [5–8]) ↔ switching metrics; test of the optimum hypothesis. Second SSRL campaign: XAS through the graphene electrode on switched cells (ex-situ before/after switching, operando if successful, following [17]) to verify that the composition-dependent differences rest on different VO dynamics inside the oxide. Publication of the first covalency-resolved study of intrinsically switching perovskite devices; dataset released following FAIR principles. Milestone M3 (month 24): submitted publication(s), public dataset.</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STF is deliberate: the switching stays inside the oxide (no reactive-electrode confounder), the graphene-sealed platform keeps it spectroscopy-ready, and the mechanism is stable across the composition range – the subsequent group programme scales the validated methodology to the mixed-valent A-site families.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Rothschild, W. Menesklou, H. L. Tuller, E. Ivers-Tiffée, Electronic Structure, Defect Chemistry, and Transport Properties of SrTi1-xFexO3-y Solid Solutions. Chemistry of Materials 18, 3651–3659 (2006).</w:t>
      </w:r>
    </w:p>
    <w:p>
      <w:pPr>
        <w:spacing w:after="120"/>
      </w:pPr>
      <w:r>
        <w:rPr>
          <w:sz w:val="18"/>
          <w:szCs w:val="18"/>
        </w:rPr>
        <w:t xml:space="preserve">[10] M. Vračar, A. Kuzmin, R. Merkle, J. Purans, E. A. Kotomin, J. Maier, O. Mathon, Jahn-Teller distortion around Fe4+ in Sr(FexTi1-x)O3-δ from x-ray absorption spectroscopy, x-ray diffraction, and vibrational spectroscopy. Physical Review B 76, 174107 (2007).</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F. Frati, M. O. J. Y. Hunault, F. M. F. de Groot, Oxygen K-edge X-ray Absorption Spectra. Chemical Reviews 120, 4056–4110 (2020).</w:t>
      </w:r>
    </w:p>
    <w:p>
      <w:pPr>
        <w:spacing w:after="120"/>
      </w:pPr>
      <w:r>
        <w:rPr>
          <w:sz w:val="18"/>
          <w:szCs w:val="18"/>
        </w:rPr>
        <w:t xml:space="preserve">[13] R. Muenstermann, T. Menke, R. Dittmann, R. Waser, Coexistence of Filamentary and Homogeneous Resistive Switching in Fe-Doped SrTiO3 Thin-Film Memristive Devices. Advanced Materials 22, 4819–4822 (2010).</w:t>
      </w:r>
    </w:p>
    <w:p>
      <w:pPr>
        <w:spacing w:after="120"/>
      </w:pPr>
      <w:r>
        <w:rPr>
          <w:sz w:val="18"/>
          <w:szCs w:val="18"/>
        </w:rPr>
        <w:t xml:space="preserve">[14] A. Sarantopoulos, R. Waser, R. Dittmann, Eightwise Switching Mechanism in Memristive SrTiO3 Devices and Its Implications on the Device Performance. Physica Status Solidi A 221, 2300483 (2024).</w:t>
      </w:r>
    </w:p>
    <w:p>
      <w:pPr>
        <w:spacing w:after="120"/>
      </w:pPr>
      <w:r>
        <w:rPr>
          <w:sz w:val="18"/>
          <w:szCs w:val="18"/>
        </w:rPr>
        <w:t xml:space="preserve">[15] M. Janousch, G. I. Meijer, U. Staub, B. Delley, S. F. Karg, B. P. Andreasson, Role of Oxygen Vacancies in Cr-Doped SrTiO3 for Resistance-Change Memory. Advanced Materials 19, 2232–2235 (2007).</w:t>
      </w:r>
    </w:p>
    <w:p>
      <w:pPr>
        <w:spacing w:after="120"/>
      </w:pPr>
      <w:r>
        <w:rPr>
          <w:sz w:val="18"/>
          <w:szCs w:val="18"/>
        </w:rPr>
        <w:t xml:space="preserve">[16] C. Baeumer et al., Spectromicroscopic insights for rational design of redox-based memristive devices. Nature Communications 6, 8610 (2015).</w:t>
      </w:r>
    </w:p>
    <w:p>
      <w:pPr>
        <w:spacing w:after="120"/>
      </w:pPr>
      <w:r>
        <w:rPr>
          <w:sz w:val="18"/>
          <w:szCs w:val="18"/>
        </w:rPr>
        <w:t xml:space="preserve">[17] C. Baeumer et al., Quantifying redox-induced Schottky barrier variations in memristive devices via in operando spectromicroscopy with graphene electrodes. Nature Communications 7, 12398 (2016).</w:t>
      </w:r>
    </w:p>
    <w:p>
      <w:pPr>
        <w:spacing w:after="120"/>
      </w:pPr>
      <w:r>
        <w:rPr>
          <w:sz w:val="18"/>
          <w:szCs w:val="18"/>
        </w:rPr>
        <w:t xml:space="preserve">[18] C. Baeumer et al., Subfilamentary Networks Cause Cycle-to-Cycle Variability in Memristive Devices. ACS Nano 11, 6921–6929 (2017).</w:t>
      </w:r>
    </w:p>
    <w:p>
      <w:pPr>
        <w:spacing w:after="120"/>
      </w:pPr>
      <w:r>
        <w:rPr>
          <w:sz w:val="18"/>
          <w:szCs w:val="18"/>
        </w:rPr>
        <w:t xml:space="preserve">[19] T. Heisig, C. Baeumer, U. N. Gries et al., Oxygen Exchange Processes between Oxide Memristive Devices and Water Molecules. Advanced Materials 30, 1800957 (2018).</w:t>
      </w:r>
    </w:p>
    <w:p>
      <w:pPr>
        <w:spacing w:after="120"/>
      </w:pPr>
      <w:r>
        <w:rPr>
          <w:sz w:val="18"/>
          <w:szCs w:val="18"/>
        </w:rPr>
        <w:t xml:space="preserve">[20] E. Sediva, W. J. Bowman, J. C. Gonzalez-Rosillo, J. L. M. Rupp, Investigation of the Eightwise Switching Mechanism and Its Suppression in SrTiO3 Modulated by Humidity and Interchanged Top and Bottom Platinum and LaNiO3 Electrode Contacts. Advanced Electronic Materials 5, 1800566 (2019).</w:t>
      </w:r>
    </w:p>
    <w:p>
      <w:pPr>
        <w:spacing w:after="120"/>
      </w:pPr>
      <w:r>
        <w:rPr>
          <w:sz w:val="18"/>
          <w:szCs w:val="18"/>
        </w:rPr>
        <w:t xml:space="preserve">[21] E. Mikheev, B. D. Hoskins, D. B. Strukov, S. Stemmer, Resistive switching and its suppression in Pt/Nb:SrTiO3 junctions. Nature Communications 5, 3990 (2014).</w:t>
      </w:r>
    </w:p>
    <w:p>
      <w:pPr>
        <w:spacing w:after="120"/>
      </w:pPr>
      <w:r>
        <w:rPr>
          <w:sz w:val="18"/>
          <w:szCs w:val="18"/>
        </w:rPr>
        <w:t xml:space="preserve">[22] K.-H. Son, H.-S. Lee, Grain boundary effect on the resistive switching characteristics of SrTi1-xFexO3 directly patterned via photochemical organic-metal deposition. Applied Surface Science 575, 151754 (2022).</w:t>
      </w:r>
    </w:p>
    <w:p>
      <w:pPr>
        <w:spacing w:after="120"/>
      </w:pPr>
      <w:r>
        <w:rPr>
          <w:sz w:val="18"/>
          <w:szCs w:val="18"/>
        </w:rPr>
        <w:t xml:space="preserve">[23] S. Asanuma, H. Akoh, H. Yamada, A. Sawa, Relationship between resistive switching characteristics and band diagrams of Ti/Pr1-xCaxMnO3 junctions. Physical Review B 80, 235113 (2009).</w:t>
      </w:r>
    </w:p>
    <w:p>
      <w:pPr>
        <w:spacing w:after="120"/>
      </w:pPr>
      <w:r>
        <w:rPr>
          <w:sz w:val="18"/>
          <w:szCs w:val="18"/>
        </w:rPr>
        <w:t xml:space="preserve">[24]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[25]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[26]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[27]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[28] M. Wuttig et al., Revisiting the Nature of Chemical Bonding in Chalcogenides to Explain and Design their Properties. Advanced Materials 35, 2208485 (2023).</w:t>
      </w:r>
    </w:p>
    <w:p>
      <w:pPr>
        <w:spacing w:after="120"/>
      </w:pPr>
      <w:r>
        <w:rPr>
          <w:sz w:val="18"/>
          <w:szCs w:val="18"/>
        </w:rPr>
        <w:t xml:space="preserve">[29] A. Sarantopoulos, K. Lange, F. Rivadulla, S. Menzel, R. Dittmann, Resistive Switching Acceleration Induced by Thermal Confinement. Advanced Electronic Materials 11, 2400555 (2025).</w:t>
      </w:r>
    </w:p>
    <w:p>
      <w:pPr>
        <w:spacing w:after="120"/>
      </w:pPr>
      <w:r>
        <w:rPr>
          <w:sz w:val="18"/>
          <w:szCs w:val="18"/>
        </w:rPr>
        <w:t xml:space="preserve">[30] M. Mladenović, M. Kaniselvan, C. Weilenmann, A. Emboras, M. Luisier, Termination-Dependent Resistive Switching in SrTiO3 Valence Change Memory Cells. ACS Applied Electronic Materials 7, 2839–2847 (2025).</w:t>
      </w:r>
    </w:p>
    <w:p>
      <w:pPr>
        <w:spacing w:after="120"/>
      </w:pPr>
      <w:r>
        <w:rPr>
          <w:sz w:val="18"/>
          <w:szCs w:val="18"/>
        </w:rPr>
        <w:t xml:space="preserve">[31] K.-J. Lee, C.-H. Wu, C.-J. Lee, D.-W. Chou, N.-F. Wang, Y.-H. Wang, Reset-Voltage Controlled Resistance-State and Applications of Forming-Free Fe-Doped SrTiO3 Thin-Film Memristor. Materials 17, 5021 (2024).</w:t>
      </w:r>
    </w:p>
    <w:p>
      <w:pPr>
        <w:spacing w:after="120"/>
      </w:pPr>
      <w:r>
        <w:rPr>
          <w:sz w:val="18"/>
          <w:szCs w:val="18"/>
        </w:rPr>
        <w:t xml:space="preserve">[32] E. Mikheev, J. Hwang, A. P. Kajdos, A. J. Hauser, S. Stemmer, Tailoring resistive switching in Pt/SrTiO3 junctions by stoichiometry control. Scientific Reports 5, 11079 (2015).</w:t>
      </w:r>
    </w:p>
    <w:p>
      <w:pPr>
        <w:spacing w:after="120"/>
      </w:pPr>
      <w:r>
        <w:rPr>
          <w:sz w:val="18"/>
          <w:szCs w:val="18"/>
        </w:rPr>
        <w:t xml:space="preserve">[33] J. Zaanen, G. A. Sawatzky, J. W. Allen, Band gaps and electronic structure of transition-metal compounds. Physical Review Letters 55, 418–421 (1985).</w:t>
      </w:r>
    </w:p>
    <w:p>
      <w:pPr>
        <w:spacing w:after="120"/>
      </w:pPr>
      <w:r>
        <w:rPr>
          <w:sz w:val="18"/>
          <w:szCs w:val="18"/>
        </w:rPr>
        <w:t xml:space="preserve">[34] A. Fujimori, F. Minami, Valence-band photoemission and optical absorption in nickel compounds. Physical Review B 30, 957–971 (1984).</w:t>
      </w:r>
    </w:p>
    <w:p>
      <w:pPr>
        <w:spacing w:after="120"/>
      </w:pPr>
      <w:r>
        <w:rPr>
          <w:sz w:val="18"/>
          <w:szCs w:val="18"/>
        </w:rPr>
        <w:t xml:space="preserve">[35]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[36] T. Saitoh, A. E. Bocquet, T. Mizokawa, A. Fujimori, Systematic variation of the electronic structure of 3d transition-metal compounds. Physical Review B 52, 7934–7938 (1995).</w:t>
      </w:r>
    </w:p>
    <w:p>
      <w:pPr>
        <w:spacing w:after="120"/>
      </w:pPr>
      <w:r>
        <w:rPr>
          <w:sz w:val="18"/>
          <w:szCs w:val="18"/>
        </w:rPr>
        <w:t xml:space="preserve">[37] S. Nimkar, D. D. Sarma, H. R. Krishnamurthy, S. Ramasesha, Mean-field results of the multiple-band extended Hubbard model for the square-planar CuO2 lattice. Physical Review B 48, 7355–7363 (1993).</w:t>
      </w:r>
    </w:p>
    <w:p>
      <w:pPr>
        <w:spacing w:after="120"/>
      </w:pPr>
      <w:r>
        <w:rPr>
          <w:sz w:val="18"/>
          <w:szCs w:val="18"/>
        </w:rPr>
        <w:t xml:space="preserve">[38] F. M. F. de Groot, X-ray absorption and dichroism of transition metals and their compounds. Journal of Electron Spectroscopy and Related Phenomena 67, 529–622 (1994).</w:t>
      </w:r>
    </w:p>
    <w:p>
      <w:pPr>
        <w:spacing w:after="120"/>
      </w:pPr>
      <w:r>
        <w:rPr>
          <w:sz w:val="18"/>
          <w:szCs w:val="18"/>
        </w:rPr>
        <w:t xml:space="preserve">[39] A. E. Bocquet, T. Mizokawa, K. Morikawa, A. Fujimori et al., Electronic structure of early 3d-transition-metal oxides by analysis of the 2p core-level photoemission spectra. Physical Review B 53, 1161–1170 (1996).</w:t>
      </w:r>
    </w:p>
    <w:p>
      <w:pPr>
        <w:spacing w:after="120"/>
      </w:pPr>
      <w:r>
        <w:rPr>
          <w:sz w:val="18"/>
          <w:szCs w:val="18"/>
        </w:rPr>
        <w:t xml:space="preserve">[40] A. E. Bocquet, A. Fujimori, T. Mizokawa, T. Saitoh, H. Namatame, S. Suga, N. Kimizuka, Y. Takeda, M. Takano, Electronic structure of SrFe4+O3 and related Fe perovskite oxides. Physical Review B 45, 1561–1570 (1992).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2026-08-10T20:20:19.376Z</dcterms:created>
  <dcterms:modified xsi:type="dcterms:W3CDTF">2026-08-10T20:20:19.376Z</dcterms:modified>
</cp:coreProperties>
</file>

<file path=docProps/custom.xml><?xml version="1.0" encoding="utf-8"?>
<Properties xmlns="http://schemas.openxmlformats.org/officeDocument/2006/custom-properties" xmlns:vt="http://schemas.openxmlformats.org/officeDocument/2006/docPropsVTypes"/>
</file>