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A8796" w14:textId="77777777" w:rsidR="008E5A22" w:rsidRDefault="008E5A22">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5B803239" w14:textId="77777777" w:rsidR="008E5A22" w:rsidRDefault="008E5A22">
      <w:pPr>
        <w:pStyle w:val="NormalWeb"/>
        <w:rPr>
          <w:rFonts w:ascii="Arial" w:hAnsi="Arial" w:cs="Arial"/>
          <w:sz w:val="21"/>
          <w:szCs w:val="21"/>
        </w:rPr>
      </w:pPr>
      <w:r>
        <w:rPr>
          <w:rFonts w:ascii="Arial" w:hAnsi="Arial" w:cs="Arial"/>
          <w:sz w:val="21"/>
          <w:szCs w:val="21"/>
        </w:rPr>
        <w:t> </w:t>
      </w:r>
    </w:p>
    <w:p w14:paraId="60139F67" w14:textId="77777777" w:rsidR="008E5A22" w:rsidRDefault="008E5A22">
      <w:pPr>
        <w:pStyle w:val="NormalWeb"/>
        <w:rPr>
          <w:rFonts w:ascii="Arial" w:hAnsi="Arial" w:cs="Arial"/>
          <w:sz w:val="21"/>
          <w:szCs w:val="21"/>
        </w:rPr>
      </w:pPr>
      <w:r>
        <w:rPr>
          <w:rFonts w:ascii="Arial" w:hAnsi="Arial" w:cs="Arial"/>
          <w:sz w:val="21"/>
          <w:szCs w:val="21"/>
        </w:rPr>
        <w:t> </w:t>
      </w:r>
    </w:p>
    <w:p w14:paraId="6BD7256E" w14:textId="77777777" w:rsidR="008E5A22" w:rsidRDefault="008E5A22">
      <w:pPr>
        <w:pStyle w:val="NormalWeb"/>
        <w:rPr>
          <w:rFonts w:ascii="Arial" w:hAnsi="Arial" w:cs="Arial"/>
          <w:sz w:val="21"/>
          <w:szCs w:val="21"/>
        </w:rPr>
      </w:pPr>
      <w:r>
        <w:rPr>
          <w:rFonts w:ascii="Arial" w:hAnsi="Arial" w:cs="Arial"/>
          <w:sz w:val="21"/>
          <w:szCs w:val="21"/>
        </w:rPr>
        <w:t> </w:t>
      </w:r>
    </w:p>
    <w:p w14:paraId="37C3E632" w14:textId="77777777" w:rsidR="008E5A22" w:rsidRDefault="008E5A22">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7162E21B" w14:textId="77777777" w:rsidR="008E5A22" w:rsidRDefault="008E5A22">
      <w:pPr>
        <w:pStyle w:val="NormalWeb"/>
        <w:rPr>
          <w:rFonts w:ascii="Arial" w:hAnsi="Arial" w:cs="Arial"/>
          <w:sz w:val="21"/>
          <w:szCs w:val="21"/>
        </w:rPr>
      </w:pPr>
      <w:r>
        <w:rPr>
          <w:rFonts w:ascii="Arial" w:hAnsi="Arial" w:cs="Arial"/>
          <w:sz w:val="21"/>
          <w:szCs w:val="21"/>
        </w:rPr>
        <w:t> </w:t>
      </w:r>
    </w:p>
    <w:p w14:paraId="79890CC2" w14:textId="77777777" w:rsidR="008E5A22" w:rsidRDefault="008E5A22">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Pr</w:t>
      </w:r>
      <w:r>
        <w:rPr>
          <w:rFonts w:ascii="Arial" w:hAnsi="Arial" w:cs="Arial"/>
          <w:b/>
          <w:bCs/>
          <w:sz w:val="26"/>
          <w:szCs w:val="26"/>
          <w:vertAlign w:val="subscript"/>
        </w:rPr>
        <w:t>1-x</w:t>
      </w:r>
      <w:r>
        <w:rPr>
          <w:rFonts w:ascii="Arial" w:hAnsi="Arial" w:cs="Arial"/>
          <w:b/>
          <w:bCs/>
          <w:sz w:val="26"/>
          <w:szCs w:val="26"/>
        </w:rPr>
        <w:t>Ca</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w:t>
      </w:r>
      <w:r>
        <w:rPr>
          <w:rFonts w:ascii="Arial" w:hAnsi="Arial" w:cs="Arial"/>
          <w:b/>
          <w:bCs/>
          <w:sz w:val="26"/>
          <w:szCs w:val="26"/>
        </w:rPr>
        <w:t xml:space="preserve"> Model Series</w:t>
      </w:r>
    </w:p>
    <w:p w14:paraId="19BB5E7F" w14:textId="77777777" w:rsidR="008E5A22" w:rsidRDefault="008E5A22">
      <w:pPr>
        <w:pStyle w:val="NormalWeb"/>
        <w:rPr>
          <w:rFonts w:ascii="Arial" w:hAnsi="Arial" w:cs="Arial"/>
          <w:sz w:val="21"/>
          <w:szCs w:val="21"/>
        </w:rPr>
      </w:pPr>
      <w:r>
        <w:rPr>
          <w:rFonts w:ascii="Arial" w:hAnsi="Arial" w:cs="Arial"/>
          <w:sz w:val="21"/>
          <w:szCs w:val="21"/>
        </w:rPr>
        <w:t> </w:t>
      </w:r>
    </w:p>
    <w:p w14:paraId="4424F6E4" w14:textId="77777777" w:rsidR="008E5A22" w:rsidRDefault="008E5A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C50C01" w14:paraId="74384540"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2070FA"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B131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C50C01" w14:paraId="2855AC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597AB"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858D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Dr. William C. Chueh, Department of Materials Science and Engineering, Stanford University, USA – Friedrich Wilhelm Bessel Research Award winner of the AvH Foundation (2021), member of the Humboldt Network</w:t>
            </w:r>
          </w:p>
        </w:tc>
      </w:tr>
      <w:tr w:rsidR="00C50C01" w14:paraId="050C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255"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95EF2"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C50C01" w14:paraId="13962F9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DBE2"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803C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C50C01" w14:paraId="2C01BA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C70A0"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969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C50C01" w14:paraId="422873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B8167"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B02FD9"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4D442B3" w14:textId="77777777" w:rsidR="008E5A22" w:rsidRDefault="008E5A22">
      <w:pPr>
        <w:pStyle w:val="NormalWeb"/>
        <w:rPr>
          <w:rFonts w:ascii="Arial" w:hAnsi="Arial" w:cs="Arial"/>
          <w:sz w:val="21"/>
          <w:szCs w:val="21"/>
        </w:rPr>
      </w:pPr>
      <w:r>
        <w:rPr>
          <w:rFonts w:ascii="Arial" w:hAnsi="Arial" w:cs="Arial"/>
          <w:sz w:val="21"/>
          <w:szCs w:val="21"/>
        </w:rPr>
        <w:t> </w:t>
      </w:r>
    </w:p>
    <w:p w14:paraId="7E0FA4D7" w14:textId="77777777" w:rsidR="008E5A22" w:rsidRDefault="008E5A22">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3933C7D0" w14:textId="77777777" w:rsidR="008E5A22" w:rsidRDefault="008E5A22">
      <w:pPr>
        <w:pStyle w:val="Heading1"/>
        <w:pageBreakBefore/>
        <w:rPr>
          <w:rFonts w:ascii="Arial" w:eastAsia="Times New Roman" w:hAnsi="Arial" w:cs="Arial"/>
        </w:rPr>
      </w:pPr>
      <w:r>
        <w:rPr>
          <w:rFonts w:ascii="Arial" w:eastAsia="Times New Roman" w:hAnsi="Arial" w:cs="Arial"/>
        </w:rPr>
        <w:lastRenderedPageBreak/>
        <w:t>Research Proposal (Exposé)</w:t>
      </w:r>
    </w:p>
    <w:p w14:paraId="12854C35" w14:textId="77777777" w:rsidR="008E5A22" w:rsidRDefault="008E5A22">
      <w:pPr>
        <w:pStyle w:val="Heading2"/>
        <w:rPr>
          <w:rFonts w:ascii="Arial" w:eastAsia="Times New Roman" w:hAnsi="Arial" w:cs="Arial"/>
        </w:rPr>
      </w:pPr>
      <w:r>
        <w:rPr>
          <w:rFonts w:ascii="Arial" w:eastAsia="Times New Roman" w:hAnsi="Arial" w:cs="Arial"/>
        </w:rPr>
        <w:t>1  Research question and scientific significance</w:t>
      </w:r>
    </w:p>
    <w:p w14:paraId="1EC95856" w14:textId="77777777" w:rsidR="008E5A22" w:rsidRDefault="008E5A22">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series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best-documented perovskite memristor family.</w:t>
      </w:r>
    </w:p>
    <w:p w14:paraId="2D4E8EDF" w14:textId="77777777" w:rsidR="008E5A22" w:rsidRDefault="008E5A22">
      <w:pPr>
        <w:pStyle w:val="NormalWeb"/>
        <w:rPr>
          <w:rFonts w:ascii="Arial" w:hAnsi="Arial" w:cs="Arial"/>
          <w:sz w:val="21"/>
          <w:szCs w:val="21"/>
        </w:rPr>
      </w:pPr>
      <w:r>
        <w:rPr>
          <w:rFonts w:ascii="Arial" w:hAnsi="Arial" w:cs="Arial"/>
          <w:sz w:val="21"/>
          <w:szCs w:val="21"/>
        </w:rPr>
        <w:t xml:space="preserve">PCMO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 axis is established:</w:t>
      </w:r>
      <w:r>
        <w:rPr>
          <w:rFonts w:ascii="Arial" w:hAnsi="Arial" w:cs="Arial"/>
          <w:sz w:val="21"/>
          <w:szCs w:val="21"/>
        </w:rPr>
        <w:t xml:space="preserve"> Ca</w:t>
      </w:r>
      <w:r>
        <w:rPr>
          <w:rFonts w:ascii="Arial" w:hAnsi="Arial" w:cs="Arial"/>
          <w:sz w:val="21"/>
          <w:szCs w:val="21"/>
          <w:vertAlign w:val="superscript"/>
        </w:rPr>
        <w:t>2+</w:t>
      </w:r>
      <w:r>
        <w:rPr>
          <w:rFonts w:ascii="Arial" w:hAnsi="Arial" w:cs="Arial"/>
          <w:sz w:val="21"/>
          <w:szCs w:val="21"/>
        </w:rPr>
        <w:t xml:space="preserve"> substitution dopes holes with substantial O-2p character into the mixed-valent Mn</w:t>
      </w:r>
      <w:r>
        <w:rPr>
          <w:rFonts w:ascii="Arial" w:hAnsi="Arial" w:cs="Arial"/>
          <w:sz w:val="21"/>
          <w:szCs w:val="21"/>
          <w:vertAlign w:val="superscript"/>
        </w:rPr>
        <w:t>3+</w:t>
      </w:r>
      <w:r>
        <w:rPr>
          <w:rFonts w:ascii="Arial" w:hAnsi="Arial" w:cs="Arial"/>
          <w:sz w:val="21"/>
          <w:szCs w:val="21"/>
        </w:rPr>
        <w:t>/Mn</w:t>
      </w:r>
      <w:r>
        <w:rPr>
          <w:rFonts w:ascii="Arial" w:hAnsi="Arial" w:cs="Arial"/>
          <w:sz w:val="21"/>
          <w:szCs w:val="21"/>
          <w:vertAlign w:val="superscript"/>
        </w:rPr>
        <w:t>4+</w:t>
      </w:r>
      <w:r>
        <w:rPr>
          <w:rFonts w:ascii="Arial" w:hAnsi="Arial" w:cs="Arial"/>
          <w:sz w:val="21"/>
          <w:szCs w:val="21"/>
        </w:rPr>
        <w:t xml:space="preserve"> system; the resulting increase of Mn3d–O2p hybridisation with x </w:t>
      </w:r>
      <w:r>
        <w:rPr>
          <w:rFonts w:ascii="Arial" w:hAnsi="Arial" w:cs="Arial"/>
          <w:sz w:val="21"/>
          <w:szCs w:val="21"/>
        </w:rPr>
        <w:t xml:space="preserve">is measurable at the O-K edge as a relative, series-internal quantity</w:t>
      </w:r>
      <w:r>
        <w:rPr>
          <w:rFonts w:ascii="Arial" w:hAnsi="Arial" w:cs="Arial"/>
          <w:sz w:val="21"/>
          <w:szCs w:val="21"/>
        </w:rPr>
        <w:t xml:space="preserve"> and has recently been quantified for two compositions (x = 0.1/0.33) in the electrocatalysis context [9] – precisely the descriptor knowledge this project transfers to memristive switching, with the classic manganite X-ray absorption literature as calibration base [10, 11]. </w:t>
      </w:r>
      <w:r>
        <w:rPr>
          <w:rFonts w:ascii="Arial" w:hAnsi="Arial" w:cs="Arial"/>
          <w:b/>
          <w:bCs/>
          <w:sz w:val="21"/>
          <w:szCs w:val="21"/>
        </w:rPr>
        <w:t>(ii) The switching axis is established:</w:t>
      </w:r>
      <w:r>
        <w:rPr>
          <w:rFonts w:ascii="Arial" w:hAnsi="Arial" w:cs="Arial"/>
          <w:sz w:val="21"/>
          <w:szCs w:val="21"/>
        </w:rPr>
        <w:t xml:space="preserve"> PCMO delivered the first perovskite ReRAM demonstrations [12, 13], its interface redox mechanism is spectroscopically proven [14], and the field is comprehensively mapped in my first-author Chemical Reviews article [E2] and the recent manganite device review [22]. Crucially, the </w:t>
      </w:r>
      <w:r>
        <w:rPr>
          <w:rFonts w:ascii="Arial" w:hAnsi="Arial" w:cs="Arial"/>
          <w:i/>
          <w:iCs/>
          <w:sz w:val="21"/>
          <w:szCs w:val="21"/>
        </w:rPr>
        <w:t>only complete composition-resolved switching study in the entire perovskite ReRAM literature</w:t>
      </w:r>
      <w:r>
        <w:rPr>
          <w:rFonts w:ascii="Arial" w:hAnsi="Arial" w:cs="Arial"/>
          <w:sz w:val="21"/>
          <w:szCs w:val="21"/>
        </w:rPr>
        <w:t xml:space="preserve"> exists for PCMO: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w:t>
      </w:r>
      <w:r>
        <w:rPr>
          <w:rFonts w:ascii="Arial" w:hAnsi="Arial" w:cs="Arial"/>
          <w:b/>
          <w:bCs/>
          <w:sz w:val="21"/>
          <w:szCs w:val="21"/>
        </w:rPr>
        <w:t>(iii) The mechanism is stable across the series:</w:t>
      </w:r>
      <w:r>
        <w:rPr>
          <w:rFonts w:ascii="Arial" w:hAnsi="Arial" w:cs="Arial"/>
          <w:sz w:val="21"/>
          <w:szCs w:val="21"/>
        </w:rPr>
        <w:t xml:space="preserve">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w:t>
      </w:r>
      <w:r>
        <w:rPr>
          <w:rFonts w:ascii="Arial" w:hAnsi="Arial" w:cs="Arial"/>
          <w:i/>
          <w:iCs/>
          <w:sz w:val="21"/>
          <w:szCs w:val="21"/>
        </w:rPr>
        <w:t>is</w:t>
      </w:r>
      <w:r>
        <w:rPr>
          <w:rFonts w:ascii="Arial" w:hAnsi="Arial" w:cs="Arial"/>
          <w:sz w:val="21"/>
          <w:szCs w:val="21"/>
        </w:rPr>
        <w:t xml:space="preserve">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w:t>
      </w:r>
      <w:r>
        <w:rPr>
          <w:rFonts w:ascii="Arial" w:hAnsi="Arial" w:cs="Arial"/>
          <w:sz w:val="21"/>
          <w:szCs w:val="21"/>
        </w:rPr>
        <w:t xml:space="preserve">the descriptor scale of this project is calibrated against cluster-model analysis, not against pre-edge intensity alone. System-specific parameter status (re-screening, 09.08.2026): quantitative CI anchors exist for the La-based manganite end members [32], but no Δ/U/(pdσ) set has been published for Pr1-xCaxMnO3 at any composition – the closest existing series spectroscopy [33] stops short of a cluster fit; establishing the PCMO parameter set is an explicit deliverable of this project.</w:t>
      </w:r>
    </w:p>
    <w:p w14:paraId="39CBBA42" w14:textId="77777777" w:rsidR="008E5A22" w:rsidRDefault="008E5A22">
      <w:pPr>
        <w:pStyle w:val="Heading2"/>
        <w:rPr>
          <w:rFonts w:ascii="Arial" w:eastAsia="Times New Roman" w:hAnsi="Arial" w:cs="Arial"/>
        </w:rPr>
      </w:pPr>
      <w:r>
        <w:rPr>
          <w:rFonts w:ascii="Arial" w:eastAsia="Times New Roman" w:hAnsi="Arial" w:cs="Arial"/>
        </w:rPr>
        <w:t>2  Why the Chueh group at Stanford is the ideal place</w:t>
      </w:r>
    </w:p>
    <w:p w14:paraId="57B5471F" w14:textId="77777777" w:rsidR="008E5A22" w:rsidRDefault="008E5A22">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60766599" w14:textId="77777777" w:rsidR="008E5A22" w:rsidRDefault="008E5A22">
      <w:pPr>
        <w:pStyle w:val="Heading2"/>
        <w:rPr>
          <w:rFonts w:ascii="Arial" w:eastAsia="Times New Roman" w:hAnsi="Arial" w:cs="Arial"/>
        </w:rPr>
      </w:pPr>
      <w:r>
        <w:rPr>
          <w:rFonts w:ascii="Arial" w:eastAsia="Times New Roman" w:hAnsi="Arial" w:cs="Arial"/>
        </w:rPr>
        <w:t>3  Work programme (24 months)</w:t>
      </w:r>
    </w:p>
    <w:p w14:paraId="392489A8" w14:textId="77777777" w:rsidR="008E5A22" w:rsidRDefault="008E5A22">
      <w:pPr>
        <w:pStyle w:val="Heading3"/>
        <w:rPr>
          <w:rFonts w:ascii="Arial" w:eastAsia="Times New Roman" w:hAnsi="Arial" w:cs="Arial"/>
        </w:rPr>
      </w:pPr>
      <w:r>
        <w:rPr>
          <w:rFonts w:ascii="Arial" w:eastAsia="Times New Roman" w:hAnsi="Arial" w:cs="Arial"/>
        </w:rPr>
        <w:t>WP1 – Synthesis and descriptor measurement of the PCMO series (months 1–10)</w:t>
      </w:r>
    </w:p>
    <w:p w14:paraId="49C1BB29" w14:textId="77777777" w:rsidR="008E5A22" w:rsidRDefault="008E5A22">
      <w:pPr>
        <w:pStyle w:val="NormalWeb"/>
        <w:rPr>
          <w:rFonts w:ascii="Arial" w:hAnsi="Arial" w:cs="Arial"/>
          <w:sz w:val="21"/>
          <w:szCs w:val="21"/>
        </w:rPr>
      </w:pPr>
      <w:r>
        <w:rPr>
          <w:rFonts w:ascii="Arial" w:hAnsi="Arial" w:cs="Arial"/>
          <w:sz w:val="21"/>
          <w:szCs w:val="21"/>
        </w:rPr>
        <w:t>PLD growth of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films (x = 0.1; 0.2; 0.3; 0.4; 0.5; 0.65; 0.8 – dense sampling around the reported switching optimum at x ≈ 0.4 and up to the x &gt; 0.8 regime where switching reportedly vanishes [16])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2835F886" w14:textId="77777777" w:rsidR="008E5A22" w:rsidRDefault="008E5A22">
      <w:pPr>
        <w:pStyle w:val="Heading3"/>
        <w:rPr>
          <w:rFonts w:ascii="Arial" w:eastAsia="Times New Roman" w:hAnsi="Arial" w:cs="Arial"/>
        </w:rPr>
      </w:pPr>
      <w:r>
        <w:rPr>
          <w:rFonts w:ascii="Arial" w:eastAsia="Times New Roman" w:hAnsi="Arial" w:cs="Arial"/>
        </w:rPr>
        <w:t>WP2 – Devices and switching characterisation (months 8–18)</w:t>
      </w:r>
    </w:p>
    <w:p w14:paraId="398C0459" w14:textId="77777777" w:rsidR="008E5A22" w:rsidRDefault="008E5A22">
      <w:pPr>
        <w:pStyle w:val="NormalWeb"/>
        <w:rPr>
          <w:rFonts w:ascii="Arial" w:hAnsi="Arial" w:cs="Arial"/>
          <w:sz w:val="21"/>
          <w:szCs w:val="21"/>
        </w:rPr>
      </w:pPr>
      <w:r>
        <w:rPr>
          <w:rFonts w:ascii="Arial" w:hAnsi="Arial" w:cs="Arial"/>
          <w:sz w:val="21"/>
          <w:szCs w:val="21"/>
        </w:rPr>
        <w:t xml:space="preserve">Two device flavours per composition, processed photolithographically with ≥ 30 nominally identical cells each: (i) a </w:t>
      </w:r>
      <w:r>
        <w:rPr>
          <w:rFonts w:ascii="Arial" w:hAnsi="Arial" w:cs="Arial"/>
          <w:i/>
          <w:iCs/>
          <w:sz w:val="21"/>
          <w:szCs w:val="21"/>
        </w:rPr>
        <w:t>benchmark geometry</w:t>
      </w:r>
      <w:r>
        <w:rPr>
          <w:rFonts w:ascii="Arial" w:hAnsi="Arial" w:cs="Arial"/>
          <w:sz w:val="21"/>
          <w:szCs w:val="21"/>
        </w:rPr>
        <w:t xml:space="preserve"> with reactive Ti top electrodes reproducing the Asanuma configuration [16] for direct quantitative comparability with the published switching-vs-x dataset, and (ii) a </w:t>
      </w:r>
      <w:r>
        <w:rPr>
          <w:rFonts w:ascii="Arial" w:hAnsi="Arial" w:cs="Arial"/>
          <w:i/>
          <w:iCs/>
          <w:sz w:val="21"/>
          <w:szCs w:val="21"/>
        </w:rPr>
        <w:t>clean geometry</w:t>
      </w:r>
      <w:r>
        <w:rPr>
          <w:rFonts w:ascii="Arial" w:hAnsi="Arial" w:cs="Arial"/>
          <w:sz w:val="21"/>
          <w:szCs w:val="21"/>
        </w:rPr>
        <w:t xml:space="preserve"> with inert Pt top electrodes on Nb:SrTiO</w:t>
      </w:r>
      <w:r>
        <w:rPr>
          <w:rFonts w:ascii="Arial" w:hAnsi="Arial" w:cs="Arial"/>
          <w:sz w:val="21"/>
          <w:szCs w:val="21"/>
          <w:vertAlign w:val="subscript"/>
        </w:rPr>
        <w:t>3</w:t>
      </w:r>
      <w:r>
        <w:rPr>
          <w:rFonts w:ascii="Arial" w:hAnsi="Arial" w:cs="Arial"/>
          <w:sz w:val="21"/>
          <w:szCs w:val="21"/>
        </w:rPr>
        <w:t xml:space="preserve">,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in both geometries, with robust statistics.</w:t>
      </w:r>
    </w:p>
    <w:p w14:paraId="4B8F91BD" w14:textId="77777777" w:rsidR="008E5A22" w:rsidRDefault="008E5A22">
      <w:pPr>
        <w:pStyle w:val="Heading3"/>
        <w:rPr>
          <w:rFonts w:ascii="Arial" w:eastAsia="Times New Roman" w:hAnsi="Arial" w:cs="Arial"/>
        </w:rPr>
      </w:pPr>
      <w:r>
        <w:rPr>
          <w:rFonts w:ascii="Arial" w:eastAsia="Times New Roman" w:hAnsi="Arial" w:cs="Arial"/>
        </w:rPr>
        <w:t>WP3 – Correlation, operando validation and publication (months 16–24)</w:t>
      </w:r>
    </w:p>
    <w:p w14:paraId="5DD6DD78" w14:textId="77777777" w:rsidR="008E5A22" w:rsidRDefault="008E5A22">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16FB2E52" w14:textId="77777777" w:rsidR="008E5A22" w:rsidRDefault="008E5A22">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C50C01" w14:paraId="515A1BA6"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2CBE9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89815D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D8AF6C0"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7292A8B"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1520E01"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3F031B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0AF8B1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9782D92"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279450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C50C01" w14:paraId="760651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E37DA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5955E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4142A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A6E24D"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47186"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3FB73"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20F1F"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ACF6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3BCFF" w14:textId="77777777" w:rsidR="008E5A22" w:rsidRDefault="008E5A22">
            <w:pPr>
              <w:spacing w:before="120" w:after="200"/>
              <w:jc w:val="center"/>
              <w:rPr>
                <w:rFonts w:eastAsia="Times New Roman"/>
                <w:sz w:val="20"/>
                <w:szCs w:val="20"/>
              </w:rPr>
            </w:pPr>
          </w:p>
        </w:tc>
      </w:tr>
      <w:tr w:rsidR="00C50C01" w14:paraId="792BD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4181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9D521F"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43D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94D04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079D5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2C197A"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DA355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DF4AB"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033B1" w14:textId="77777777" w:rsidR="008E5A22" w:rsidRDefault="008E5A22">
            <w:pPr>
              <w:spacing w:before="120" w:after="200"/>
              <w:jc w:val="center"/>
              <w:rPr>
                <w:rFonts w:eastAsia="Times New Roman"/>
                <w:sz w:val="20"/>
                <w:szCs w:val="20"/>
              </w:rPr>
            </w:pPr>
          </w:p>
        </w:tc>
      </w:tr>
      <w:tr w:rsidR="00C50C01" w14:paraId="31A08DB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38A55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ADC49"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197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A8E81"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A9D244"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F447A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DC069"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B67D1"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4A9770"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76959DA" w14:textId="77777777" w:rsidR="008E5A22" w:rsidRDefault="008E5A22">
      <w:pPr>
        <w:pStyle w:val="Heading2"/>
        <w:rPr>
          <w:rFonts w:ascii="Arial" w:eastAsia="Times New Roman" w:hAnsi="Arial" w:cs="Arial"/>
        </w:rPr>
      </w:pPr>
      <w:r>
        <w:rPr>
          <w:rFonts w:ascii="Arial" w:eastAsia="Times New Roman" w:hAnsi="Arial" w:cs="Arial"/>
        </w:rPr>
        <w:t>5  Career perspective and return strategy</w:t>
      </w:r>
    </w:p>
    <w:p w14:paraId="1FA8FF20" w14:textId="77777777" w:rsidR="008E5A22" w:rsidRDefault="008E5A22">
      <w:pPr>
        <w:pStyle w:val="NormalWeb"/>
        <w:rPr>
          <w:rFonts w:ascii="Arial" w:hAnsi="Arial" w:cs="Arial"/>
          <w:sz w:val="21"/>
          <w:szCs w:val="21"/>
        </w:rPr>
      </w:pPr>
      <w:r>
        <w:rPr>
          <w:rFonts w:ascii="Arial" w:hAnsi="Arial" w:cs="Arial"/>
          <w:sz w:val="21"/>
          <w:szCs w:val="21"/>
        </w:rPr>
        <w:t>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PCMO dataset) for the larger programme of a “treasure map” of memristive oxides in analogy to the bonding-descriptor maps of Wuttig et al. [21]. The choice of the mechanism-stable PCMO family for this fellowship is deliberate: it de-risks the descriptor methodology on the cleanest possible system; the subsequent group programme then scales it to the ferrite and cobaltite families, where topotactic phase transitions are no longer a confounder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31503D13" w14:textId="77777777" w:rsidR="008E5A22" w:rsidRDefault="008E5A22">
      <w:pPr>
        <w:pStyle w:val="Heading2"/>
        <w:rPr>
          <w:rFonts w:ascii="Arial" w:eastAsia="Times New Roman" w:hAnsi="Arial" w:cs="Arial"/>
        </w:rPr>
      </w:pPr>
      <w:r>
        <w:rPr>
          <w:rFonts w:ascii="Arial" w:eastAsia="Times New Roman" w:hAnsi="Arial" w:cs="Arial"/>
        </w:rPr>
        <w:t>6  References</w:t>
      </w:r>
    </w:p>
    <w:p w14:paraId="6E43E28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 R. Waser, M. Aono, Nanoionics-based resistive switching memories. Nature Materials 6, 833–840 (2007).</w:t>
      </w:r>
    </w:p>
    <w:p w14:paraId="3D576DED" w14:textId="77777777" w:rsidR="008E5A22" w:rsidRDefault="008E5A22">
      <w:pPr>
        <w:spacing w:after="60"/>
        <w:ind w:hanging="480"/>
        <w:divId w:val="207365308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E20FF2D" w14:textId="77777777" w:rsidR="008E5A22" w:rsidRDefault="008E5A22">
      <w:pPr>
        <w:spacing w:after="60"/>
        <w:ind w:hanging="480"/>
        <w:divId w:val="207365308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2EA58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3571F48" w14:textId="77777777" w:rsidR="008E5A22" w:rsidRDefault="008E5A22">
      <w:pPr>
        <w:spacing w:after="60"/>
        <w:ind w:hanging="480"/>
        <w:divId w:val="2073653082"/>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20580498" w14:textId="77777777" w:rsidR="008E5A22" w:rsidRDefault="008E5A22">
      <w:pPr>
        <w:spacing w:after="60"/>
        <w:ind w:hanging="480"/>
        <w:divId w:val="2073653082"/>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6BB50339" w14:textId="77777777" w:rsidR="008E5A22" w:rsidRDefault="008E5A22">
      <w:pPr>
        <w:spacing w:after="60"/>
        <w:ind w:hanging="480"/>
        <w:divId w:val="2073653082"/>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A4990E7" w14:textId="77777777" w:rsidR="008E5A22" w:rsidRDefault="008E5A22">
      <w:pPr>
        <w:spacing w:after="60"/>
        <w:ind w:hanging="480"/>
        <w:divId w:val="2073653082"/>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1348B6AD" w14:textId="00D7E6F7" w:rsidR="008E5A22" w:rsidRDefault="008E5A22">
      <w:pPr>
        <w:spacing w:after="60"/>
        <w:ind w:hanging="480"/>
        <w:divId w:val="2073653082"/>
        <w:rPr>
          <w:rFonts w:ascii="Arial" w:hAnsi="Arial" w:cs="Arial"/>
          <w:sz w:val="18"/>
          <w:szCs w:val="18"/>
        </w:rPr>
      </w:pPr>
      <w:r>
        <w:rPr>
          <w:rFonts w:ascii="Arial" w:hAnsi="Arial" w:cs="Arial"/>
          <w:sz w:val="18"/>
          <w:szCs w:val="18"/>
        </w:rPr>
        <w:t>[9] G. Lole, F. Ebrahimi, T. Meyer, D. Mierwaldt, V. Roddatis, J. Geppert, M. Risch, C. Jooss, Contrasting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OER Catalysts with Different Valences and Covalences. The Journal of Physical Chemistry C 127, 177-186 (2023), DOI 10.1021/acs.jpcc.2c05622.</w:t>
      </w:r>
    </w:p>
    <w:p w14:paraId="6794CC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527B4F1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5F974428" w14:textId="77777777" w:rsidR="008E5A22" w:rsidRDefault="008E5A22">
      <w:pPr>
        <w:spacing w:after="60"/>
        <w:ind w:hanging="480"/>
        <w:divId w:val="2073653082"/>
        <w:rPr>
          <w:rFonts w:ascii="Arial" w:hAnsi="Arial" w:cs="Arial"/>
          <w:sz w:val="18"/>
          <w:szCs w:val="18"/>
        </w:rPr>
      </w:pPr>
      <w:r>
        <w:rPr>
          <w:rFonts w:ascii="Arial" w:hAnsi="Arial" w:cs="Arial"/>
          <w:sz w:val="18"/>
          <w:szCs w:val="18"/>
        </w:rPr>
        <w:t>[12] S. Q. Liu, N. J. Wu, A. Ignatiev, Electric-pulse-induced reversible resistance change effect in magnetoresistive films. Applied Physics Letters 76, 2749–2751 (2000).</w:t>
      </w:r>
    </w:p>
    <w:p w14:paraId="491EA1F3" w14:textId="77777777" w:rsidR="008E5A22" w:rsidRDefault="008E5A22">
      <w:pPr>
        <w:spacing w:after="60"/>
        <w:ind w:hanging="480"/>
        <w:divId w:val="2073653082"/>
        <w:rPr>
          <w:rFonts w:ascii="Arial" w:hAnsi="Arial" w:cs="Arial"/>
          <w:sz w:val="18"/>
          <w:szCs w:val="18"/>
        </w:rPr>
      </w:pPr>
      <w:r>
        <w:rPr>
          <w:rFonts w:ascii="Arial" w:hAnsi="Arial" w:cs="Arial"/>
          <w:sz w:val="18"/>
          <w:szCs w:val="18"/>
        </w:rPr>
        <w:t>[13] A. Sawa, T. Fujii, M. Kawasaki, Y. Tokura, Hysteretic current–voltage characteristics and resistance switching at a rectifying Ti/Pr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interface. Applied Physics Letters 85, 4073–4075 (2004).</w:t>
      </w:r>
    </w:p>
    <w:p w14:paraId="3737C4F0" w14:textId="77777777" w:rsidR="008E5A22" w:rsidRDefault="008E5A22">
      <w:pPr>
        <w:spacing w:after="60"/>
        <w:ind w:hanging="480"/>
        <w:divId w:val="2073653082"/>
        <w:rPr>
          <w:rFonts w:ascii="Arial" w:hAnsi="Arial" w:cs="Arial"/>
          <w:sz w:val="18"/>
          <w:szCs w:val="18"/>
        </w:rPr>
      </w:pPr>
      <w:r>
        <w:rPr>
          <w:rFonts w:ascii="Arial" w:hAnsi="Arial" w:cs="Arial"/>
          <w:sz w:val="18"/>
          <w:szCs w:val="18"/>
        </w:rPr>
        <w:t>[14]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718B06F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D976BD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5116B87" w14:textId="77777777" w:rsidR="008E5A22" w:rsidRDefault="008E5A22">
      <w:pPr>
        <w:spacing w:after="60"/>
        <w:ind w:hanging="480"/>
        <w:divId w:val="2073653082"/>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7856F215" w14:textId="77777777" w:rsidR="008E5A22" w:rsidRDefault="008E5A22">
      <w:pPr>
        <w:spacing w:after="60"/>
        <w:ind w:hanging="480"/>
        <w:divId w:val="2073653082"/>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A91F9E1" w14:textId="77777777" w:rsidR="008E5A22" w:rsidRDefault="008E5A22">
      <w:pPr>
        <w:spacing w:after="60"/>
        <w:ind w:hanging="480"/>
        <w:divId w:val="2073653082"/>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0D2BF619" w14:textId="77777777" w:rsidR="008E5A22" w:rsidRDefault="008E5A22">
      <w:pPr>
        <w:spacing w:after="60"/>
        <w:ind w:hanging="480"/>
        <w:divId w:val="2073653082"/>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6A8CC9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2073653082"/>
        <w:rPr>
          <w:rFonts w:ascii="Arial" w:hAnsi="Arial" w:cs="Arial"/>
          <w:sz w:val="18"/>
          <w:szCs w:val="18"/>
        </w:rPr>
      </w:pPr>
      <w:r>
        <w:rPr>
          <w:rFonts w:ascii="Arial" w:hAnsi="Arial" w:cs="Arial"/>
          <w:sz w:val="18"/>
          <w:szCs w:val="18"/>
        </w:rPr>
        <w:t xml:space="preserve">[22] A. Schulman, H. Huhtinen, P. Paturi, Manganite memristive devices: recent progress and emerging opportunities. Journal of Physics D: Applied Physics 57, 422001 (2024).</w:t>
      </w:r>
    </w:p>
    <w:p>
      <w:pPr>
        <w:spacing w:after="60"/>
        <w:ind w:hanging="480"/>
        <w:divId w:val="2073653082"/>
        <w:rPr>
          <w:rFonts w:ascii="Arial" w:hAnsi="Arial" w:cs="Arial"/>
          <w:sz w:val="18"/>
          <w:szCs w:val="18"/>
        </w:rPr>
      </w:pPr>
      <w:r>
        <w:rPr>
          <w:rFonts w:ascii="Arial" w:hAnsi="Arial" w:cs="Arial"/>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073653082"/>
        <w:rPr>
          <w:rFonts w:ascii="Arial" w:hAnsi="Arial" w:cs="Arial"/>
          <w:sz w:val="18"/>
          <w:szCs w:val="18"/>
        </w:rPr>
      </w:pPr>
      <w:r>
        <w:rPr>
          <w:rFonts w:ascii="Arial" w:hAnsi="Arial" w:cs="Arial"/>
          <w:sz w:val="18"/>
          <w:szCs w:val="18"/>
        </w:rPr>
        <w:t xml:space="preserve">[24] T. Kramer, M. Scherff, D. Mierwaldt, J. Hoffmann, C. Jooss, Role of oxygen vacancies for resistive switching in noble metal sandwiched Pr0.67Ca0.33MnO3-δ. Applied Physics Letters 110, 243502 (2017).</w:t>
      </w:r>
    </w:p>
    <w:p>
      <w:pPr>
        <w:spacing w:after="60"/>
        <w:ind w:hanging="480"/>
        <w:divId w:val="2073653082"/>
        <w:rPr>
          <w:rFonts w:ascii="Arial" w:hAnsi="Arial" w:cs="Arial"/>
          <w:sz w:val="18"/>
          <w:szCs w:val="18"/>
        </w:rPr>
      </w:pPr>
      <w:r>
        <w:rPr>
          <w:rFonts w:ascii="Arial" w:hAnsi="Arial" w:cs="Arial"/>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60"/>
        <w:ind w:hanging="480"/>
        <w:divId w:val="2073653082"/>
        <w:rPr>
          <w:rFonts w:ascii="Arial" w:hAnsi="Arial" w:cs="Arial"/>
          <w:sz w:val="18"/>
          <w:szCs w:val="18"/>
        </w:rPr>
      </w:pPr>
      <w:r>
        <w:rPr>
          <w:rFonts w:ascii="Arial" w:hAnsi="Arial" w:cs="Arial"/>
          <w:sz w:val="18"/>
          <w:szCs w:val="18"/>
        </w:rPr>
        <w:t xml:space="preserve">[26] J. Zaanen, G. A. Sawatzky, J. W. Allen, Band gaps and electronic structure of transition-metal compounds. Physical Review Letters 55, 418–421 (1985).</w:t>
      </w:r>
    </w:p>
    <w:p>
      <w:pPr>
        <w:spacing w:after="60"/>
        <w:ind w:hanging="480"/>
        <w:divId w:val="2073653082"/>
        <w:rPr>
          <w:rFonts w:ascii="Arial" w:hAnsi="Arial" w:cs="Arial"/>
          <w:sz w:val="18"/>
          <w:szCs w:val="18"/>
        </w:rPr>
      </w:pPr>
      <w:r>
        <w:rPr>
          <w:rFonts w:ascii="Arial" w:hAnsi="Arial" w:cs="Arial"/>
          <w:sz w:val="18"/>
          <w:szCs w:val="18"/>
        </w:rPr>
        <w:t xml:space="preserve">[27] A. Fujimori, F. Minami, Valence-band photoemission and optical absorption in nickel compounds. Physical Review B 30, 957–971 (1984).</w:t>
      </w:r>
    </w:p>
    <w:p>
      <w:pPr>
        <w:spacing w:after="60"/>
        <w:ind w:hanging="480"/>
        <w:divId w:val="2073653082"/>
        <w:rPr>
          <w:rFonts w:ascii="Arial" w:hAnsi="Arial" w:cs="Arial"/>
          <w:sz w:val="18"/>
          <w:szCs w:val="18"/>
        </w:rPr>
      </w:pPr>
      <w:r>
        <w:rPr>
          <w:rFonts w:ascii="Arial" w:hAnsi="Arial" w:cs="Arial"/>
          <w:sz w:val="18"/>
          <w:szCs w:val="18"/>
        </w:rPr>
        <w:t xml:space="preserve">[28] A. E. Bocquet, T. Mizokawa, T. Saitoh, H. Namatame, A. Fujimori, Electronic structure of 3d-transition-metal compounds by analysis of the 2p core-level photoemission spectra. Physical Review B 46, 3771–3784 (1992).</w:t>
      </w:r>
    </w:p>
    <w:p>
      <w:pPr>
        <w:spacing w:after="60"/>
        <w:ind w:hanging="480"/>
        <w:divId w:val="2073653082"/>
        <w:rPr>
          <w:rFonts w:ascii="Arial" w:hAnsi="Arial" w:cs="Arial"/>
          <w:sz w:val="18"/>
          <w:szCs w:val="18"/>
        </w:rPr>
      </w:pPr>
      <w:r>
        <w:rPr>
          <w:rFonts w:ascii="Arial" w:hAnsi="Arial" w:cs="Arial"/>
          <w:sz w:val="18"/>
          <w:szCs w:val="18"/>
        </w:rPr>
        <w:t xml:space="preserve">[29] T. Saitoh, A. E. Bocquet, T. Mizokawa, A. Fujimori, Systematic variation of the electronic structure of 3d transition-metal compounds. Physical Review B 52, 7934–7938 (1995).</w:t>
      </w:r>
    </w:p>
    <w:p>
      <w:pPr>
        <w:spacing w:after="60"/>
        <w:ind w:hanging="480"/>
        <w:divId w:val="2073653082"/>
        <w:rPr>
          <w:rFonts w:ascii="Arial" w:hAnsi="Arial" w:cs="Arial"/>
          <w:sz w:val="18"/>
          <w:szCs w:val="18"/>
        </w:rPr>
      </w:pPr>
      <w:r>
        <w:rPr>
          <w:rFonts w:ascii="Arial" w:hAnsi="Arial" w:cs="Arial"/>
          <w:sz w:val="18"/>
          <w:szCs w:val="18"/>
        </w:rPr>
        <w:t xml:space="preserve">[30] S. Nimkar, D. D. Sarma, H. R. Krishnamurthy, S. Ramasesha, Mean-field results of the multiple-band extended Hubbard model for the square-planar CuO2 lattice. Physical Review B 48, 7355–7363 (1993).</w:t>
      </w:r>
    </w:p>
    <w:p>
      <w:pPr>
        <w:spacing w:after="60"/>
        <w:ind w:hanging="480"/>
        <w:divId w:val="2073653082"/>
        <w:rPr>
          <w:rFonts w:ascii="Arial" w:hAnsi="Arial" w:cs="Arial"/>
          <w:sz w:val="18"/>
          <w:szCs w:val="18"/>
        </w:rPr>
      </w:pPr>
      <w:r>
        <w:rPr>
          <w:rFonts w:ascii="Arial" w:hAnsi="Arial" w:cs="Arial"/>
          <w:sz w:val="18"/>
          <w:szCs w:val="18"/>
        </w:rPr>
        <w:t xml:space="preserve">[31] F. M. F. de Groot, X-ray absorption and dichroism of transition metals and their compounds. Journal of Electron Spectroscopy and Related Phenomena 67, 529–622 (1994).</w:t>
      </w:r>
    </w:p>
    <w:p>
      <w:pPr>
        <w:spacing w:after="60"/>
        <w:ind w:hanging="480"/>
        <w:divId w:val="2073653082"/>
        <w:rPr>
          <w:rFonts w:ascii="Arial" w:hAnsi="Arial" w:cs="Arial"/>
          <w:sz w:val="18"/>
          <w:szCs w:val="18"/>
        </w:rPr>
      </w:pPr>
      <w:r>
        <w:rPr>
          <w:rFonts w:ascii="Arial" w:hAnsi="Arial" w:cs="Arial"/>
          <w:sz w:val="18"/>
          <w:szCs w:val="18"/>
        </w:rPr>
        <w:t xml:space="preserve">[32] T. Saitoh, A. E. Bocquet, T. Mizokawa, H. Namatame, A. Fujimori, M. Abbate, Y. Takeda, M. Takano, Electronic structure of La1-xSrxMnO3 studied by photoemission and x-ray-absorption spectroscopy. Physical Review B 51, 13942–13951 (1995).</w:t>
      </w:r>
    </w:p>
    <w:p>
      <w:pPr>
        <w:spacing w:after="60"/>
        <w:ind w:hanging="480"/>
        <w:divId w:val="2073653082"/>
        <w:rPr>
          <w:rFonts w:ascii="Arial" w:hAnsi="Arial" w:cs="Arial"/>
          <w:sz w:val="18"/>
          <w:szCs w:val="18"/>
        </w:rPr>
      </w:pPr>
      <w:r>
        <w:rPr>
          <w:rFonts w:ascii="Arial" w:hAnsi="Arial" w:cs="Arial"/>
          <w:sz w:val="18"/>
          <w:szCs w:val="18"/>
        </w:rPr>
        <w:t xml:space="preserve">[33] K. Ebata, M. Hashimoto, K. Tanaka, A. Fujimori, Y. Tomioka, Y. Tokura, Chemical potential shift and spectral-weight transfer in Pr1-xCaxMnO3. Physical Review B 76, 174418 (2007). [verify exact title before submission]</w:t>
      </w:r>
    </w:p>
    <w:p w14:paraId="3629FB22" w14:textId="77777777" w:rsidR="008E5A22" w:rsidRDefault="008E5A22">
      <w:pPr>
        <w:spacing w:after="60"/>
        <w:ind w:hanging="480"/>
        <w:divId w:val="2073653082"/>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3940F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322458" w14:textId="77777777" w:rsidR="008E5A22" w:rsidRDefault="008E5A22">
      <w:pPr>
        <w:spacing w:after="60"/>
        <w:ind w:hanging="480"/>
        <w:divId w:val="2073653082"/>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8A93C9B" w14:textId="77777777" w:rsidR="008E5A22" w:rsidRDefault="008E5A22">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C50C01" w14:paraId="21E64BF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F86CAB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11BC87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C50C01" w14:paraId="2923DD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FDB25B"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B007B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C50C01" w14:paraId="07DC35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E59DF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EB31A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C50C01" w14:paraId="51BD59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F3957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9DF6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C50C01" w14:paraId="50CAE2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7009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4E95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C50C01" w14:paraId="42F14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E617E"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ED9AA"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C50C01" w14:paraId="4228F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1BD4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AC5AE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C50C01" w14:paraId="7455DF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B77A2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9F8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1D787D11" w14:textId="77777777" w:rsidR="008E5A22" w:rsidRDefault="008E5A22">
      <w:pPr>
        <w:pStyle w:val="Heading2"/>
        <w:rPr>
          <w:rFonts w:ascii="Arial" w:eastAsia="Times New Roman" w:hAnsi="Arial" w:cs="Arial"/>
        </w:rPr>
      </w:pPr>
      <w:r>
        <w:rPr>
          <w:rFonts w:ascii="Arial" w:eastAsia="Times New Roman" w:hAnsi="Arial" w:cs="Arial"/>
        </w:rPr>
        <w:t>Fellowship benefits (for orientation, as of 2026)</w:t>
      </w:r>
    </w:p>
    <w:p w14:paraId="3262BFBB" w14:textId="77777777" w:rsidR="008E5A22" w:rsidRDefault="008E5A22">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8E5A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534"/>
    <w:rsid w:val="003C7534"/>
    <w:rsid w:val="008E5A22"/>
    <w:rsid w:val="009521A0"/>
    <w:rsid w:val="00B74F8F"/>
    <w:rsid w:val="00C37513"/>
    <w:rsid w:val="00C50C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9E4DB0"/>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653082">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2518</Words>
  <Characters>14353</Characters>
  <Application>Microsoft Office Word</Application>
  <DocSecurity>0</DocSecurity>
  <Lines>119</Lines>
  <Paragraphs>33</Paragraphs>
  <ScaleCrop>false</ScaleCrop>
  <Company/>
  <LinksUpToDate>false</LinksUpToDate>
  <CharactersWithSpaces>16838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3</cp:revision>
  <dcterms:created xsi:type="dcterms:W3CDTF">2026-08-09T14:10:00Z</dcterms:created>
  <dcterms:modified xsi:type="dcterms:W3CDTF">2026-08-09T14:54:00Z</dcterms:modified>
</cp:coreProperties>
</file>