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CI parameter basis of this series is among the strongest of any oxide family – both end members are quantitatively anchored, LaFeO3 with positive Δ and SrFeO3 with negative charge-transfer energy [30], recently reconfirmed by HAXPES (Δ ≈ −1.0 eV) [31], and series spectroscopy with CI anchoring exists [32]; the series thus crosses the sign of Δ, the conceptually richest descriptor axis of the portfolio.</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LSFO series (months 1–8, Stanford)</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8): validated sample series with complete descriptor set.</w:t>
      </w:r>
    </w:p>
    <w:p>
      <w:pPr>
        <w:spacing w:after="120"/>
      </w:pPr>
      <w:r>
        <w:rPr>
          <w:b/>
          <w:bCs/>
        </w:rPr>
        <w:t xml:space="preserve">WP2 – Devices and switching characterisation (months 6–12, Stanford)</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12): switching figures of merit as a function of x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[24] J. Zaanen, G. A. Sawatzky, J. W. Allen, Band gaps and electronic structure of transition-metal compounds. Physical Review Letters 55, 418–421 (1985).</w:t>
      </w:r>
    </w:p>
    <w:p>
      <w:pPr>
        <w:spacing w:after="120"/>
      </w:pPr>
      <w:r>
        <w:rPr>
          <w:sz w:val="18"/>
          <w:szCs w:val="18"/>
        </w:rPr>
        <w:t xml:space="preserve">[25] A. Fujimori, F. Minami, Valence-band photoemission and optical absorption in nickel compounds. Physical Review B 30, 957–971 (1984).</w:t>
      </w:r>
    </w:p>
    <w:p>
      <w:pPr>
        <w:spacing w:after="120"/>
      </w:pPr>
      <w:r>
        <w:rPr>
          <w:sz w:val="18"/>
          <w:szCs w:val="18"/>
        </w:rPr>
        <w:t xml:space="preserve">[26]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[27] T. Saitoh, A. E. Bocquet, T. Mizokawa, A. Fujimori, Systematic variation of the electronic structure of 3d transition-metal compounds. Physical Review B 52, 7934–7938 (1995).</w:t>
      </w:r>
    </w:p>
    <w:p>
      <w:pPr>
        <w:spacing w:after="120"/>
      </w:pPr>
      <w:r>
        <w:rPr>
          <w:sz w:val="18"/>
          <w:szCs w:val="18"/>
        </w:rPr>
        <w:t xml:space="preserve">[28] S. Nimkar, D. D. Sarma, H. R. Krishnamurthy, S. Ramasesha, Mean-field results of the multiple-band extended Hubbard model for the square-planar CuO2 lattice. Physical Review B 48, 7355–7363 (1993).</w:t>
      </w:r>
    </w:p>
    <w:p>
      <w:pPr>
        <w:spacing w:after="120"/>
      </w:pPr>
      <w:r>
        <w:rPr>
          <w:sz w:val="18"/>
          <w:szCs w:val="18"/>
        </w:rPr>
        <w:t xml:space="preserve">[29] F. M. F. de Groot, X-ray absorption and dichroism of transition metals and their compounds. Journal of Electron Spectroscopy and Related Phenomena 67, 529–622 (1994).</w:t>
      </w:r>
    </w:p>
    <w:p>
      <w:pPr>
        <w:spacing w:after="120"/>
      </w:pPr>
      <w:r>
        <w:rPr>
          <w:sz w:val="18"/>
          <w:szCs w:val="18"/>
        </w:rPr>
        <w:t xml:space="preserve">[30]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[31] D. Takegami et al., Negative charge-transfer energy in SrFeO3 revisited with hard x-ray photoemission spectroscopy. Physical Review B 109, 235138 (2024).</w:t>
      </w:r>
    </w:p>
    <w:p>
      <w:pPr>
        <w:spacing w:after="120"/>
      </w:pPr>
      <w:r>
        <w:rPr>
          <w:sz w:val="18"/>
          <w:szCs w:val="18"/>
        </w:rPr>
        <w:t xml:space="preserve">[32] H. Wadati et al., Hole-doping-induced changes in the electronic structure of La1-xSrxFeO3: soft x-ray photoemission and absorption study of epitaxial thin films. Physical Review B 71, 035108 (2005).</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2026-08-10T20:20:19.315Z</dcterms:created>
  <dcterms:modified xsi:type="dcterms:W3CDTF">2026-08-10T20:20:19.315Z</dcterms:modified>
</cp:coreProperties>
</file>

<file path=docProps/custom.xml><?xml version="1.0" encoding="utf-8"?>
<Properties xmlns="http://schemas.openxmlformats.org/officeDocument/2006/custom-properties" xmlns:vt="http://schemas.openxmlformats.org/officeDocument/2006/docPropsVTypes"/>
</file>