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1–10)</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[30]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[31] D. Takegami et al., Negative charge-transfer energy in SrFeO3 revisited with hard x-ray photoemission spectroscopy. Physical Review B 109, 235138 (2024).</w:t>
      </w:r>
    </w:p>
    <w:p>
      <w:pPr>
        <w:spacing w:after="120"/>
      </w:pPr>
      <w:r>
        <w:rPr>
          <w:sz w:val="18"/>
          <w:szCs w:val="18"/>
        </w:rPr>
        <w:t xml:space="preserve">[32] H. Wadati et al., Hole-doping-induced changes in the electronic structure of La1-xSrxFeO3: soft x-ray photoemission and absorption study of epitaxial thin films. Physical Review B 71, 035108 (2005).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2026-08-10T20:20:19.405Z</dcterms:created>
  <dcterms:modified xsi:type="dcterms:W3CDTF">2026-08-10T20:20:19.405Z</dcterms:modified>
</cp:coreProperties>
</file>

<file path=docProps/custom.xml><?xml version="1.0" encoding="utf-8"?>
<Properties xmlns="http://schemas.openxmlformats.org/officeDocument/2006/custom-properties" xmlns:vt="http://schemas.openxmlformats.org/officeDocument/2006/docPropsVTypes"/>
</file>