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w:t>
            </w:r>
            <w:r>
              <w:rPr>
                <w:rFonts w:ascii="Arial" w:eastAsia="Times New Roman" w:hAnsi="Arial" w:cs="Arial"/>
                <w:sz w:val="19"/>
                <w:szCs w:val="19"/>
              </w:rPr>
              <w:t>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w:t>
      </w:r>
      <w:r>
        <w:rPr>
          <w:rFonts w:ascii="Arial" w:hAnsi="Arial" w:cs="Arial"/>
        </w:rPr>
        <w: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w:t>
      </w:r>
      <w:r>
        <w:rPr>
          <w:rFonts w:ascii="Arial" w:hAnsi="Arial" w:cs="Arial"/>
          <w:sz w:val="21"/>
          <w:szCs w:val="21"/>
        </w:rPr>
        <w:t>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w:t>
      </w:r>
      <w:r>
        <w:rPr>
          <w:rFonts w:ascii="Arial" w:hAnsi="Arial" w:cs="Arial"/>
          <w:sz w:val="21"/>
          <w:szCs w:val="21"/>
        </w:rPr>
        <w:t>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w:t>
      </w:r>
      <w:r>
        <w:rPr>
          <w:rFonts w:ascii="Arial" w:hAnsi="Arial" w:cs="Arial"/>
          <w:sz w:val="21"/>
          <w:szCs w:val="21"/>
        </w:rPr>
        <w:t xml:space="preserve">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w:t>
      </w:r>
      <w:r>
        <w:rPr>
          <w:rFonts w:ascii="Arial" w:hAnsi="Arial" w:cs="Arial"/>
          <w:sz w:val="21"/>
          <w:szCs w:val="21"/>
        </w:rPr>
        <w:t>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w:t>
      </w:r>
      <w:r>
        <w:rPr>
          <w:rFonts w:ascii="Arial" w:hAnsi="Arial" w:cs="Arial"/>
          <w:sz w:val="21"/>
          <w:szCs w:val="21"/>
        </w:rPr>
        <w:t>→</w:t>
      </w:r>
      <w:r>
        <w:rPr>
          <w:rFonts w:ascii="Arial" w:hAnsi="Arial" w:cs="Arial"/>
          <w:sz w:val="21"/>
          <w:szCs w:val="21"/>
        </w:rPr>
        <w:t xml:space="preserve">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w:t>
      </w:r>
      <w:r>
        <w:rPr>
          <w:rFonts w:ascii="Arial" w:hAnsi="Arial" w:cs="Arial"/>
          <w:sz w:val="21"/>
          <w:szCs w:val="21"/>
        </w:rPr>
        <w:t>“interface-type”)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by only a factor of 2–</w:t>
      </w:r>
      <w:r>
        <w:rPr>
          <w:rFonts w:ascii="Arial" w:hAnsi="Arial" w:cs="Arial"/>
          <w:sz w:val="21"/>
          <w:szCs w:val="21"/>
        </w:rPr>
        <w:t xml:space="preserve">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w:t>
      </w:r>
      <w:r>
        <w:rPr>
          <w:rFonts w:ascii="Arial" w:hAnsi="Arial" w:cs="Arial"/>
          <w:sz w:val="21"/>
          <w:szCs w:val="21"/>
        </w:rPr>
        <w:t>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w:t>
      </w:r>
      <w:r>
        <w:rPr>
          <w:rFonts w:ascii="Arial" w:hAnsi="Arial" w:cs="Arial"/>
          <w:sz w:val="21"/>
          <w:szCs w:val="21"/>
        </w:rPr>
        <w:t>↔</w:t>
      </w:r>
      <w:r>
        <w:rPr>
          <w:rFonts w:ascii="Arial" w:hAnsi="Arial" w:cs="Arial"/>
          <w:sz w:val="21"/>
          <w:szCs w:val="21"/>
        </w:rPr>
        <w:t> brownmillerite transitions (SrFeO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w:t>
      </w:r>
      <w:r>
        <w:rPr>
          <w:rFonts w:ascii="Arial" w:hAnsi="Arial" w:cs="Arial"/>
          <w:sz w:val="21"/>
          <w:szCs w:val="21"/>
        </w:rPr>
        <w:t>→</w:t>
      </w:r>
      <w:r>
        <w:rPr>
          <w:rFonts w:ascii="Arial" w:hAnsi="Arial" w:cs="Arial"/>
          <w:sz w:val="21"/>
          <w:szCs w:val="21"/>
        </w:rPr>
        <w:t> metal </w:t>
      </w:r>
      <w:r>
        <w:rPr>
          <w:rFonts w:ascii="Arial" w:hAnsi="Arial" w:cs="Arial"/>
          <w:sz w:val="21"/>
          <w:szCs w:val="21"/>
        </w:rPr>
        <w:t>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w:t>
      </w:r>
      <w:r>
        <w:rPr>
          <w:rFonts w:ascii="Arial" w:hAnsi="Arial" w:cs="Arial"/>
          <w:sz w:val="21"/>
          <w:szCs w:val="21"/>
        </w:rPr>
        <w:t>→</w:t>
      </w:r>
      <w:r>
        <w:rPr>
          <w:rFonts w:ascii="Arial" w:hAnsi="Arial" w:cs="Arial"/>
          <w:sz w:val="21"/>
          <w:szCs w:val="21"/>
        </w:rPr>
        <w:t>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w:t>
      </w:r>
      <w:r>
        <w:rPr>
          <w:rFonts w:ascii="Arial" w:hAnsi="Arial" w:cs="Arial"/>
          <w:sz w:val="21"/>
          <w:szCs w:val="21"/>
        </w:rPr>
        <w:t>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w:t>
      </w:r>
      <w:r>
        <w:rPr>
          <w:rFonts w:ascii="Arial" w:hAnsi="Arial" w:cs="Arial"/>
          <w:sz w:val="21"/>
          <w:szCs w:val="21"/>
        </w:rPr>
        <w:t>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w:t>
      </w:r>
      <w:r>
        <w:rPr>
          <w:rFonts w:ascii="Arial" w:hAnsi="Arial" w:cs="Arial"/>
          <w:sz w:val="21"/>
          <w:szCs w:val="21"/>
        </w:rPr>
        <w:t>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w:t>
      </w:r>
      <w:r>
        <w:rPr>
          <w:rFonts w:ascii="Arial" w:hAnsi="Arial" w:cs="Arial"/>
          <w:sz w:val="21"/>
          <w:szCs w:val="21"/>
        </w:rPr>
        <w:t>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w:t>
      </w:r>
      <w:r>
        <w:rPr>
          <w:rFonts w:ascii="Arial" w:hAnsi="Arial" w:cs="Arial"/>
          <w:sz w:val="21"/>
          <w:szCs w:val="21"/>
        </w:rPr>
        <w:t>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w:t>
      </w:r>
      <w:r>
        <w:rPr>
          <w:rFonts w:ascii="Arial" w:hAnsi="Arial" w:cs="Arial"/>
          <w:sz w:val="21"/>
          <w:szCs w:val="21"/>
        </w:rPr>
        <w:t>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w:t>
      </w:r>
      <w:r>
        <w:rPr>
          <w:rFonts w:ascii="Arial" w:hAnsi="Arial" w:cs="Arial"/>
          <w:sz w:val="21"/>
          <w:szCs w:val="21"/>
        </w:rPr>
        <w:t>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t>
      </w:r>
      <w:r>
        <w:rPr>
          <w:rFonts w:ascii="Arial" w:hAnsi="Arial" w:cs="Arial"/>
          <w:sz w:val="21"/>
          <w:szCs w:val="21"/>
        </w:rPr>
        <w:t>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follows methodologically the quantum-chemical bonding-descriptor maps (“treasure maps”</w:t>
      </w:r>
      <w:r>
        <w:rPr>
          <w:rFonts w:ascii="Arial" w:hAnsi="Arial" w:cs="Arial"/>
          <w:sz w:val="21"/>
          <w:szCs w:val="21"/>
        </w:rPr>
        <w:t>)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w:t>
      </w:r>
      <w:r>
        <w:rPr>
          <w:rFonts w:ascii="Arial" w:hAnsi="Arial" w:cs="Arial"/>
          <w:sz w:val="21"/>
          <w:szCs w:val="21"/>
        </w:rPr>
        <w:t>d as a landscape. Such a map would have the same dual function as the original: it</w:t>
      </w:r>
      <w:r>
        <w:rPr>
          <w:rFonts w:ascii="Arial" w:hAnsi="Arial" w:cs="Arial"/>
          <w:sz w:val="21"/>
          <w:szCs w:val="21"/>
        </w:rPr>
        <w:t xml:space="preserve">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w:t>
      </w:r>
      <w:r>
        <w:rPr>
          <w:rFonts w:ascii="Arial" w:hAnsi="Arial" w:cs="Arial"/>
          <w:sz w:val="21"/>
          <w:szCs w:val="21"/>
        </w:rPr>
        <w:t>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w:t>
      </w:r>
      <w:r>
        <w:rPr>
          <w:rFonts w:ascii="Arial" w:hAnsi="Arial" w:cs="Arial"/>
          <w:i/>
          <w:iCs/>
          <w:sz w:val="21"/>
          <w:szCs w:val="21"/>
        </w:rPr>
        <w:t>≈</w:t>
      </w:r>
      <w:r>
        <w:rPr>
          <w:rFonts w:ascii="Arial" w:hAnsi="Arial" w:cs="Arial"/>
          <w:i/>
          <w:iCs/>
          <w:sz w:val="21"/>
          <w:szCs w:val="21"/>
        </w:rPr>
        <w:t>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w:t>
      </w:r>
      <w:r>
        <w:rPr>
          <w:rFonts w:ascii="Arial" w:hAnsi="Arial" w:cs="Arial"/>
          <w:sz w:val="21"/>
          <w:szCs w:val="21"/>
        </w:rPr>
        <w:t>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only a polycrystalline study with a small doping window exists [80]. None of these studies links the series to computed vacancy formation energies, covalency descriptors or spectroscopic observables.</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w:t>
      </w:r>
      <w:r>
        <w:rPr>
          <w:rFonts w:ascii="Arial" w:hAnsi="Arial" w:cs="Arial"/>
          <w:sz w:val="21"/>
          <w:szCs w:val="21"/>
        </w:rPr>
        <w:t>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w:t>
      </w:r>
      <w:r>
        <w:rPr>
          <w:rFonts w:ascii="Arial" w:hAnsi="Arial" w:cs="Arial"/>
          <w:sz w:val="21"/>
          <w:szCs w:val="21"/>
        </w:rPr>
        <w:t>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w:t>
      </w:r>
      <w:r>
        <w:rPr>
          <w:rFonts w:ascii="Arial" w:hAnsi="Arial" w:cs="Arial"/>
          <w:sz w:val="21"/>
          <w:szCs w:val="21"/>
        </w:rPr>
        <w:t>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w:t>
      </w:r>
      <w:r>
        <w:rPr>
          <w:rFonts w:ascii="Arial" w:hAnsi="Arial" w:cs="Arial"/>
          <w:sz w:val="21"/>
          <w:szCs w:val="21"/>
        </w:rPr>
        <w:t>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w:t>
      </w:r>
      <w:r>
        <w:rPr>
          <w:rFonts w:ascii="Arial" w:hAnsi="Arial" w:cs="Arial"/>
          <w:sz w:val="21"/>
          <w:szCs w:val="21"/>
        </w:rPr>
        <w:t>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w:t>
      </w:r>
      <w:r>
        <w:rPr>
          <w:rFonts w:ascii="Arial" w:hAnsi="Arial" w:cs="Arial"/>
          <w:sz w:val="21"/>
          <w:szCs w:val="21"/>
        </w:rPr>
        <w: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w:t>
      </w:r>
      <w:r>
        <w:rPr>
          <w:rFonts w:ascii="Arial" w:hAnsi="Arial" w:cs="Arial"/>
          <w:sz w:val="21"/>
          <w:szCs w:val="21"/>
        </w:rPr>
        <w:t>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w:t>
      </w:r>
      <w:r>
        <w:rPr>
          <w:rFonts w:ascii="Arial" w:hAnsi="Arial" w:cs="Arial"/>
          <w:sz w:val="21"/>
          <w:szCs w:val="21"/>
        </w:rPr>
        <w:t xml:space="preserve">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w:t>
      </w:r>
      <w:r>
        <w:rPr>
          <w:rFonts w:ascii="Arial" w:hAnsi="Arial" w:cs="Arial"/>
          <w:sz w:val="21"/>
          <w:szCs w:val="21"/>
        </w:rPr>
        <w: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w:t>
      </w:r>
      <w:r>
        <w:rPr>
          <w:rFonts w:ascii="Arial" w:hAnsi="Arial" w:cs="Arial"/>
          <w:sz w:val="21"/>
          <w:szCs w:val="21"/>
        </w:rPr>
        <w:t>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w:t>
      </w:r>
      <w:r>
        <w:rPr>
          <w:rFonts w:ascii="Arial" w:hAnsi="Arial" w:cs="Arial"/>
          <w:sz w:val="21"/>
          <w:szCs w:val="21"/>
        </w:rPr>
        <w:t>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w:t>
      </w:r>
      <w:r>
        <w:rPr>
          <w:rFonts w:ascii="Arial" w:hAnsi="Arial" w:cs="Arial"/>
          <w:sz w:val="18"/>
          <w:szCs w:val="18"/>
        </w:rPr>
        <w:t>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w:t>
      </w:r>
      <w:r>
        <w:rPr>
          <w:rFonts w:ascii="Arial" w:hAnsi="Arial" w:cs="Arial"/>
          <w:sz w:val="21"/>
          <w:szCs w:val="21"/>
        </w:rPr>
        <w:t>→</w:t>
      </w:r>
      <w:r>
        <w:rPr>
          <w:rFonts w:ascii="Arial" w:hAnsi="Arial" w:cs="Arial"/>
          <w:sz w:val="21"/>
          <w:szCs w:val="21"/>
        </w:rPr>
        <w:t>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w:t>
      </w:r>
      <w:r>
        <w:rPr>
          <w:rFonts w:ascii="Arial" w:hAnsi="Arial" w:cs="Arial"/>
          <w:sz w:val="21"/>
          <w:szCs w:val="21"/>
        </w:rPr>
        <w:t>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w:t>
      </w:r>
      <w:r>
        <w:rPr>
          <w:rFonts w:ascii="Arial" w:eastAsia="Times New Roman" w:hAnsi="Arial" w:cs="Arial"/>
          <w:b/>
          <w:bCs/>
          <w:sz w:val="21"/>
          <w:szCs w:val="21"/>
        </w:rPr>
        <w:t>≥</w:t>
      </w:r>
      <w:r>
        <w:rPr>
          <w:rFonts w:ascii="Arial" w:eastAsia="Times New Roman" w:hAnsi="Arial" w:cs="Arial"/>
          <w:b/>
          <w:bCs/>
          <w:sz w:val="21"/>
          <w:szCs w:val="21"/>
        </w:rPr>
        <w:t>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w:t>
      </w:r>
      <w:r>
        <w:rPr>
          <w:rFonts w:ascii="Arial" w:eastAsia="Times New Roman" w:hAnsi="Arial" w:cs="Arial"/>
          <w:sz w:val="21"/>
          <w:szCs w:val="21"/>
        </w:rPr>
        <w:t>→</w:t>
      </w:r>
      <w:r>
        <w:rPr>
          <w:rFonts w:ascii="Arial" w:eastAsia="Times New Roman" w:hAnsi="Arial" w:cs="Arial"/>
          <w:sz w:val="21"/>
          <w:szCs w:val="21"/>
        </w:rPr>
        <w:t>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w:t>
      </w:r>
      <w:r>
        <w:rPr>
          <w:rFonts w:ascii="Arial" w:eastAsia="Times New Roman" w:hAnsi="Arial" w:cs="Arial"/>
          <w:sz w:val="21"/>
          <w:szCs w:val="21"/>
        </w:rPr>
        <w:t>Reference system with robust, well-documented VCM behaviour (PCMO kinship [4–6, 19]) and a flatter covalency span; XAS reference data are available from the literature [46].</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w:t>
      </w:r>
      <w:r>
        <w:rPr>
          <w:rFonts w:ascii="Arial" w:hAnsi="Arial" w:cs="Arial"/>
          <w:sz w:val="21"/>
          <w:szCs w:val="21"/>
        </w:rPr>
        <w:t>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w:t>
      </w:r>
      <w:r>
        <w:rPr>
          <w:rFonts w:ascii="Arial" w:eastAsia="Times New Roman" w:hAnsi="Arial" w:cs="Arial"/>
        </w:rPr>
        <w:t>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w:t>
      </w:r>
      <w:r>
        <w:rPr>
          <w:rFonts w:ascii="Arial" w:hAnsi="Arial" w:cs="Arial"/>
          <w:sz w:val="21"/>
          <w:szCs w:val="21"/>
        </w:rPr>
        <w:t>≥</w:t>
      </w:r>
      <w:r>
        <w:rPr>
          <w:rFonts w:ascii="Arial" w:hAnsi="Arial" w:cs="Arial"/>
          <w:sz w:val="21"/>
          <w:szCs w:val="21"/>
        </w:rPr>
        <w:t> </w:t>
      </w:r>
      <w:r>
        <w:rPr>
          <w:rFonts w:ascii="Arial" w:hAnsi="Arial" w:cs="Arial"/>
          <w:sz w:val="21"/>
          <w:szCs w:val="21"/>
        </w:rPr>
        <w:t>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w:t>
      </w:r>
      <w:r>
        <w:rPr>
          <w:rFonts w:ascii="Arial" w:hAnsi="Arial" w:cs="Arial"/>
          <w:sz w:val="21"/>
          <w:szCs w:val="21"/>
        </w:rPr>
        <w:t>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w:t>
      </w:r>
      <w:r>
        <w:rPr>
          <w:rFonts w:ascii="Arial" w:hAnsi="Arial" w:cs="Arial"/>
          <w:sz w:val="21"/>
          <w:szCs w:val="21"/>
        </w:rPr>
        <w:t>→</w:t>
      </w:r>
      <w:r>
        <w:rPr>
          <w:rFonts w:ascii="Arial" w:hAnsi="Arial" w:cs="Arial"/>
          <w:sz w:val="21"/>
          <w:szCs w:val="21"/>
        </w:rPr>
        <w:t xml:space="preserve"> state stability as a function of covalency, test of H2); endurance (</w:t>
      </w:r>
      <w:r>
        <w:rPr>
          <w:rFonts w:ascii="Arial" w:hAnsi="Arial" w:cs="Arial"/>
          <w:sz w:val="21"/>
          <w:szCs w:val="21"/>
        </w:rPr>
        <w:t>≥</w:t>
      </w:r>
      <w:r>
        <w:rPr>
          <w:rFonts w:ascii="Arial" w:hAnsi="Arial" w:cs="Arial"/>
          <w:sz w:val="21"/>
          <w:szCs w:val="21"/>
        </w:rPr>
        <w:t> 10</w:t>
      </w:r>
      <w:r>
        <w:rPr>
          <w:rFonts w:ascii="Arial" w:hAnsi="Arial" w:cs="Arial"/>
          <w:sz w:val="21"/>
          <w:szCs w:val="21"/>
          <w:vertAlign w:val="superscript"/>
        </w:rPr>
        <w:t>6</w:t>
      </w:r>
      <w:r>
        <w:rPr>
          <w:rFonts w:ascii="Arial" w:hAnsi="Arial" w:cs="Arial"/>
          <w:sz w:val="21"/>
          <w:szCs w:val="21"/>
        </w:rPr>
        <w:t xml:space="preserve"> </w:t>
      </w:r>
      <w:r>
        <w:rPr>
          <w:rFonts w:ascii="Arial" w:hAnsi="Arial" w:cs="Arial"/>
          <w:sz w:val="21"/>
          <w:szCs w:val="21"/>
        </w:rPr>
        <w:t>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w:t>
      </w:r>
      <w:r>
        <w:rPr>
          <w:rFonts w:ascii="Arial" w:hAnsi="Arial" w:cs="Arial"/>
          <w:sz w:val="21"/>
          <w:szCs w:val="21"/>
        </w:rPr>
        <w:t>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w:t>
      </w:r>
      <w:r>
        <w:rPr>
          <w:rFonts w:ascii="Arial" w:hAnsi="Arial" w:cs="Arial"/>
          <w:sz w:val="21"/>
          <w:szCs w:val="21"/>
        </w:rPr>
        <w:t>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w:t>
      </w:r>
      <w:r>
        <w:rPr>
          <w:rFonts w:ascii="Arial" w:hAnsi="Arial" w:cs="Arial"/>
          <w:sz w:val="21"/>
          <w:szCs w:val="21"/>
        </w:rPr>
        <w:t>↔</w:t>
      </w:r>
      <w:r>
        <w:rPr>
          <w:rFonts w:ascii="Arial" w:hAnsi="Arial" w:cs="Arial"/>
          <w:sz w:val="21"/>
          <w:szCs w:val="21"/>
        </w:rPr>
        <w:t>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w:t>
      </w:r>
      <w:r>
        <w:rPr>
          <w:rFonts w:ascii="Arial" w:hAnsi="Arial" w:cs="Arial"/>
          <w:sz w:val="21"/>
          <w:szCs w:val="21"/>
        </w:rPr>
        <w:t>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w:t>
      </w:r>
      <w:r>
        <w:rPr>
          <w:rFonts w:ascii="Arial" w:hAnsi="Arial" w:cs="Arial"/>
          <w:sz w:val="21"/>
          <w:szCs w:val="21"/>
        </w:rPr>
        <w:t>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w:t>
      </w:r>
      <w:r>
        <w:rPr>
          <w:rFonts w:ascii="Arial" w:hAnsi="Arial" w:cs="Arial"/>
          <w:sz w:val="18"/>
          <w:szCs w:val="18"/>
        </w:rPr>
        <w:t>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D.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w:t>
      </w:r>
      <w:r>
        <w:rPr>
          <w:rFonts w:ascii="Arial" w:hAnsi="Arial" w:cs="Arial"/>
          <w:sz w:val="18"/>
          <w:szCs w:val="18"/>
        </w:rPr>
        <w:t>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Interface-Type and Filamentary Switching Controlled by Crystal Orientation in Topotactic Phase Transition Driven Memristive Devices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H.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Zhang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w:t>
      </w:r>
      <w:r>
        <w:rPr>
          <w:rFonts w:ascii="Arial" w:hAnsi="Arial" w:cs="Arial"/>
          <w:sz w:val="18"/>
          <w:szCs w:val="18"/>
        </w:rPr>
        <w:t>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w:t>
      </w:r>
      <w:r>
        <w:rPr>
          <w:rFonts w:ascii="Arial" w:hAnsi="Arial" w:cs="Arial"/>
          <w:sz w:val="18"/>
          <w:szCs w:val="18"/>
        </w:rPr>
        <w:t>,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w:t>
      </w:r>
      <w:r>
        <w:rPr>
          <w:rFonts w:ascii="Arial" w:hAnsi="Arial" w:cs="Arial"/>
          <w:sz w:val="18"/>
          <w:szCs w:val="18"/>
        </w:rPr>
        <w:t>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E. A. Kotomin et al.,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w:t>
      </w:r>
      <w:r>
        <w:rPr>
          <w:rFonts w:ascii="Arial" w:hAnsi="Arial" w:cs="Arial"/>
          <w:sz w:val="18"/>
          <w:szCs w:val="18"/>
        </w:rPr>
        <w:t>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A.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Surface Science 168, 227–230 (2000).</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films for memristor devices with negative differential resistance-coupled resistive switching.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w:t>
      </w:r>
      <w:r>
        <w:rPr>
          <w:rFonts w:ascii="Arial" w:hAnsi="Arial" w:cs="Arial"/>
          <w:sz w:val="18"/>
          <w:szCs w:val="18"/>
        </w:rPr>
        <w:t>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w:t>
      </w:r>
      <w:r>
        <w:rPr>
          <w:rFonts w:ascii="Arial" w:hAnsi="Arial" w:cs="Arial"/>
          <w:sz w:val="18"/>
          <w:szCs w:val="18"/>
        </w:rPr>
        <w:t>–18371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N.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w:t>
      </w:r>
      <w:r>
        <w:rPr>
          <w:rFonts w:ascii="Arial" w:hAnsi="Arial" w:cs="Arial"/>
          <w:sz w:val="18"/>
          <w:szCs w:val="18"/>
        </w:rPr>
        <w:t>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The personnel funds are based on the DFG personnel rates for 2026 (form 60.12 – 01/26). Doctoral positions are budgeted at 75 </w:t>
      </w:r>
      <w:r>
        <w:rPr>
          <w:rFonts w:ascii="Arial" w:hAnsi="Arial" w:cs="Arial"/>
          <w:sz w:val="21"/>
          <w:szCs w:val="21"/>
        </w:rPr>
        <w:t xml:space="preserve">% of a full-time position in line with standard practice in physics (100 % rate: € 81,600/year </w:t>
      </w:r>
      <w:r>
        <w:rPr>
          <w:rFonts w:ascii="Arial" w:hAnsi="Arial" w:cs="Arial"/>
          <w:sz w:val="21"/>
          <w:szCs w:val="21"/>
        </w:rPr>
        <w:t>→</w:t>
      </w:r>
      <w:r>
        <w:rPr>
          <w:rFonts w:ascii="Arial" w:hAnsi="Arial" w:cs="Arial"/>
          <w:sz w:val="21"/>
          <w:szCs w:val="21"/>
        </w:rPr>
        <w:t xml:space="preserve">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[RWTH Aachen University or Forschungszentrum Jülich – to be fixed before submission; within the Jü</w:t>
      </w:r>
      <w:r>
        <w:rPr>
          <w:rFonts w:ascii="Arial" w:hAnsi="Arial" w:cs="Arial"/>
          <w:sz w:val="21"/>
          <w:szCs w:val="21"/>
        </w:rPr>
        <w:t>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w:t>
      </w:r>
      <w:r>
        <w:rPr>
          <w:rFonts w:ascii="Arial" w:hAnsi="Arial" w:cs="Arial"/>
          <w:sz w:val="21"/>
          <w:szCs w:val="21"/>
        </w:rPr>
        <w:t>tory space and basic equipment</w:t>
      </w:r>
      <w:r>
        <w:rPr>
          <w:rFonts w:ascii="Arial" w:hAnsi="Arial" w:cs="Arial"/>
          <w:sz w:val="21"/>
          <w:szCs w:val="21"/>
        </w:rPr>
        <w:t xml:space="preserve">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