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w:t>
      </w:r>
      <w:r>
        <w:rPr>
          <w:rFonts w:ascii="Arial" w:eastAsia="Times New Roman" w:hAnsi="Arial" w:cs="Arial"/>
        </w:rPr>
        <w:t>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quantified by the charge-transfer energy and the O-2p band centre, and that this descriptor predicts catalytic activity across whole material families with R² &gt; 0.8 [7, </w:t>
      </w:r>
      <w:r>
        <w:rPr>
          <w:rFonts w:ascii="Arial" w:hAnsi="Arial" w:cs="Arial"/>
          <w:sz w:val="21"/>
          <w:szCs w:val="21"/>
        </w:rPr>
        <w:t xml:space="preserve">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w:t>
      </w:r>
      <w:r>
        <w:rPr>
          <w:rFonts w:ascii="Arial" w:hAnsi="Arial" w:cs="Arial"/>
          <w:sz w:val="21"/>
          <w:szCs w:val="21"/>
        </w:rPr>
        <w:t xml:space="preserve">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w:t>
      </w:r>
      <w:r>
        <w:rPr>
          <w:rFonts w:ascii="Arial" w:hAnsi="Arial" w:cs="Arial"/>
          <w:sz w:val="21"/>
          <w:szCs w:val="21"/>
        </w:rPr>
        <w:t xml:space="preserve">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My literature analysis identifies only a handful of composition series in the entire perovskite ReRAM literature [20–22, 30] – </w:t>
      </w:r>
      <w:r>
        <w:rPr>
          <w:rFonts w:ascii="Arial" w:hAnsi="Arial" w:cs="Arial"/>
          <w:sz w:val="21"/>
          <w:szCs w:val="21"/>
        </w:rPr>
        <w:t>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w:t>
      </w:r>
      <w:r>
        <w:rPr>
          <w:rFonts w:ascii="Arial" w:hAnsi="Arial" w:cs="Arial"/>
          <w:sz w:val="21"/>
          <w:szCs w:val="21"/>
        </w:rPr>
        <w:t>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w:t>
      </w:r>
      <w:r>
        <w:rPr>
          <w:rFonts w:ascii="Arial" w:hAnsi="Arial" w:cs="Arial"/>
          <w:sz w:val="21"/>
          <w:szCs w:val="21"/>
        </w:rPr>
        <w:t xml:space="preserve">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w:t>
      </w:r>
      <w:r>
        <w:rPr>
          <w:rFonts w:ascii="Arial" w:hAnsi="Arial" w:cs="Arial"/>
          <w:sz w:val="21"/>
          <w:szCs w:val="21"/>
        </w:rPr>
        <w:t>≈</w:t>
      </w:r>
      <w:r>
        <w:rPr>
          <w:rFonts w:ascii="Arial" w:hAnsi="Arial" w:cs="Arial"/>
          <w:sz w:val="21"/>
          <w:szCs w:val="21"/>
        </w:rPr>
        <w:t xml:space="preserve">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t>
      </w:r>
      <w:r>
        <w:rPr>
          <w:rFonts w:ascii="Arial" w:hAnsi="Arial" w:cs="Arial"/>
          <w:sz w:val="21"/>
          <w:szCs w:val="21"/>
        </w:rPr>
        <w:t>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w:t>
      </w:r>
      <w:r>
        <w:rPr>
          <w:rFonts w:ascii="Arial" w:hAnsi="Arial" w:cs="Arial"/>
          <w:sz w:val="21"/>
          <w:szCs w:val="21"/>
        </w:rPr>
        <w:t>≈</w:t>
      </w:r>
      <w:r>
        <w:rPr>
          <w:rFonts w:ascii="Arial" w:hAnsi="Arial" w:cs="Arial"/>
          <w:sz w:val="21"/>
          <w:szCs w:val="21"/>
        </w:rPr>
        <w:t xml:space="preserve">4 eV </w:t>
      </w:r>
      <w:r>
        <w:rPr>
          <w:rFonts w:ascii="Arial" w:hAnsi="Arial" w:cs="Arial"/>
          <w:sz w:val="21"/>
          <w:szCs w:val="21"/>
        </w:rPr>
        <w:t>→</w:t>
      </w:r>
      <w:r>
        <w:rPr>
          <w:rFonts w:ascii="Arial" w:hAnsi="Arial" w:cs="Arial"/>
          <w:sz w:val="21"/>
          <w:szCs w:val="21"/>
        </w:rPr>
        <w:t xml:space="preserve"> &lt;1 eV [13]),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vertAlign w:val="subscript"/>
        </w:rPr>
        <w:t>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w:t>
      </w:r>
      <w:r>
        <w:rPr>
          <w:rFonts w:ascii="Arial" w:hAnsi="Arial" w:cs="Arial"/>
          <w:sz w:val="21"/>
          <w:szCs w:val="21"/>
        </w:rPr>
        <w:t>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w:t>
      </w:r>
      <w:r>
        <w:rPr>
          <w:rFonts w:ascii="Arial" w:hAnsi="Arial" w:cs="Arial"/>
          <w:sz w:val="21"/>
          <w:szCs w:val="21"/>
        </w:rPr>
        <w:t xml:space="preserve">1 s), retention and endurance under one protocol with </w:t>
      </w:r>
      <w:r>
        <w:rPr>
          <w:rFonts w:ascii="Arial" w:hAnsi="Arial" w:cs="Arial"/>
          <w:sz w:val="21"/>
          <w:szCs w:val="21"/>
        </w:rPr>
        <w:t>≥</w:t>
      </w:r>
      <w:r>
        <w:rPr>
          <w:rFonts w:ascii="Arial" w:hAnsi="Arial" w:cs="Arial"/>
          <w:sz w:val="21"/>
          <w:szCs w:val="21"/>
        </w:rPr>
        <w:t>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 xml:space="preserve">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w:t>
      </w:r>
      <w:r>
        <w:rPr>
          <w:rFonts w:ascii="Arial" w:hAnsi="Arial" w:cs="Arial"/>
          <w:sz w:val="21"/>
          <w:szCs w:val="21"/>
        </w:rPr>
        <w:t>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 xml:space="preserve">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w:t>
      </w:r>
      <w:r>
        <w:rPr>
          <w:rFonts w:ascii="Arial" w:hAnsi="Arial" w:cs="Arial"/>
          <w:sz w:val="21"/>
          <w:szCs w:val="21"/>
        </w:rPr>
        <w:t>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w:t>
      </w:r>
      <w:r>
        <w:rPr>
          <w:rFonts w:ascii="Arial" w:hAnsi="Arial" w:cs="Arial"/>
          <w:sz w:val="21"/>
          <w:szCs w:val="21"/>
        </w:rPr>
        <w:t>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w:t>
      </w:r>
      <w:r>
        <w:rPr>
          <w:rFonts w:ascii="Arial" w:hAnsi="Arial" w:cs="Arial"/>
          <w:sz w:val="21"/>
          <w:szCs w:val="21"/>
        </w:rPr>
        <w:t xml:space="preserve">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w:t>
      </w:r>
      <w:r>
        <w:rPr>
          <w:rFonts w:ascii="Arial" w:hAnsi="Arial" w:cs="Arial"/>
          <w:sz w:val="21"/>
          <w:szCs w:val="21"/>
        </w:rPr>
        <w:t>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w:t>
      </w:r>
      <w:r>
        <w:rPr>
          <w:rFonts w:ascii="Arial" w:hAnsi="Arial" w:cs="Arial"/>
          <w:sz w:val="18"/>
          <w:szCs w:val="18"/>
        </w:rPr>
        <w:t>,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H.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N.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w:t>
            </w:r>
            <w:r>
              <w:rPr>
                <w:rFonts w:ascii="Arial" w:eastAsia="Times New Roman" w:hAnsi="Arial" w:cs="Arial"/>
                <w:sz w:val="19"/>
                <w:szCs w:val="19"/>
              </w:rPr>
              <w:t>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w:t>
            </w:r>
            <w:r>
              <w:rPr>
                <w:rFonts w:ascii="Arial" w:eastAsia="Times New Roman" w:hAnsi="Arial" w:cs="Arial"/>
                <w:sz w:val="19"/>
                <w:szCs w:val="19"/>
              </w:rPr>
              <w:t>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w:t>
      </w:r>
      <w:r>
        <w:rPr>
          <w:rFonts w:ascii="Arial" w:hAnsi="Arial" w:cs="Arial"/>
          <w:sz w:val="21"/>
          <w:szCs w:val="21"/>
        </w:rPr>
        <w:t>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w:t>
      </w:r>
      <w:r>
        <w:rPr>
          <w:rFonts w:ascii="Arial" w:eastAsia="Times New Roman" w:hAnsi="Arial" w:cs="Arial"/>
        </w:rPr>
        <w:t>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w:t>
      </w:r>
      <w:r>
        <w:rPr>
          <w:rFonts w:ascii="Arial" w:hAnsi="Arial" w:cs="Arial"/>
          <w:sz w:val="21"/>
          <w:szCs w:val="21"/>
        </w:rPr>
        <w:t xml:space="preserve">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w:t>
      </w:r>
      <w:r>
        <w:rPr>
          <w:rFonts w:ascii="Arial" w:hAnsi="Arial" w:cs="Arial"/>
          <w:sz w:val="21"/>
          <w:szCs w:val="21"/>
        </w:rPr>
        <w:t>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w:t>
      </w:r>
      <w:r>
        <w:rPr>
          <w:rFonts w:ascii="Arial" w:hAnsi="Arial" w:cs="Arial"/>
          <w:sz w:val="21"/>
          <w:szCs w:val="21"/>
        </w:rPr>
        <w:t>);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w:t>
      </w:r>
      <w:r>
        <w:rPr>
          <w:rFonts w:ascii="Arial" w:hAnsi="Arial" w:cs="Arial"/>
          <w:sz w:val="21"/>
          <w:szCs w:val="21"/>
        </w:rPr>
        <w:t>≥</w:t>
      </w:r>
      <w:r>
        <w:rPr>
          <w:rFonts w:ascii="Arial" w:hAnsi="Arial" w:cs="Arial"/>
          <w:sz w:val="21"/>
          <w:szCs w:val="21"/>
        </w:rPr>
        <w:t>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