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EDED1" w14:textId="77777777" w:rsidR="00395E98" w:rsidRDefault="00395E98">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02A6D777" w14:textId="77777777" w:rsidR="00395E98" w:rsidRDefault="00395E98">
      <w:pPr>
        <w:pStyle w:val="NormalWeb"/>
        <w:rPr>
          <w:rFonts w:ascii="Arial" w:hAnsi="Arial" w:cs="Arial"/>
          <w:sz w:val="21"/>
          <w:szCs w:val="21"/>
        </w:rPr>
      </w:pPr>
      <w:r>
        <w:rPr>
          <w:rFonts w:ascii="Arial" w:hAnsi="Arial" w:cs="Arial"/>
          <w:sz w:val="21"/>
          <w:szCs w:val="21"/>
        </w:rPr>
        <w:t> </w:t>
      </w:r>
    </w:p>
    <w:p w14:paraId="55A4940C" w14:textId="77777777" w:rsidR="00395E98" w:rsidRDefault="00395E98">
      <w:pPr>
        <w:pStyle w:val="NormalWeb"/>
        <w:rPr>
          <w:rFonts w:ascii="Arial" w:hAnsi="Arial" w:cs="Arial"/>
          <w:sz w:val="21"/>
          <w:szCs w:val="21"/>
        </w:rPr>
      </w:pPr>
      <w:r>
        <w:rPr>
          <w:rFonts w:ascii="Arial" w:hAnsi="Arial" w:cs="Arial"/>
          <w:sz w:val="21"/>
          <w:szCs w:val="21"/>
        </w:rPr>
        <w:t> </w:t>
      </w:r>
    </w:p>
    <w:p w14:paraId="25D06376" w14:textId="77777777" w:rsidR="00395E98" w:rsidRDefault="00395E98">
      <w:pPr>
        <w:pStyle w:val="NormalWeb"/>
        <w:rPr>
          <w:rFonts w:ascii="Arial" w:hAnsi="Arial" w:cs="Arial"/>
          <w:sz w:val="21"/>
          <w:szCs w:val="21"/>
        </w:rPr>
      </w:pPr>
      <w:r>
        <w:rPr>
          <w:rFonts w:ascii="Arial" w:hAnsi="Arial" w:cs="Arial"/>
          <w:sz w:val="21"/>
          <w:szCs w:val="21"/>
        </w:rPr>
        <w:t> </w:t>
      </w:r>
    </w:p>
    <w:p w14:paraId="46845AD7" w14:textId="77777777" w:rsidR="00395E98" w:rsidRDefault="00395E98">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5E9DD40D" w14:textId="77777777" w:rsidR="00395E98" w:rsidRDefault="00395E98">
      <w:pPr>
        <w:pStyle w:val="NormalWeb"/>
        <w:rPr>
          <w:rFonts w:ascii="Arial" w:hAnsi="Arial" w:cs="Arial"/>
          <w:sz w:val="21"/>
          <w:szCs w:val="21"/>
        </w:rPr>
      </w:pPr>
      <w:r>
        <w:rPr>
          <w:rFonts w:ascii="Arial" w:hAnsi="Arial" w:cs="Arial"/>
          <w:sz w:val="21"/>
          <w:szCs w:val="21"/>
        </w:rPr>
        <w:t> </w:t>
      </w:r>
    </w:p>
    <w:p w14:paraId="67DCF0C7" w14:textId="77777777" w:rsidR="00395E98" w:rsidRDefault="00395E98">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Intrinsic Memristive Switching: the SrTi</w:t>
      </w:r>
      <w:r>
        <w:rPr>
          <w:rFonts w:ascii="Arial" w:hAnsi="Arial" w:cs="Arial"/>
          <w:b/>
          <w:bCs/>
          <w:sz w:val="26"/>
          <w:szCs w:val="26"/>
          <w:vertAlign w:val="subscript"/>
        </w:rPr>
        <w:t>1-x</w:t>
      </w:r>
      <w:r>
        <w:rPr>
          <w:rFonts w:ascii="Arial" w:hAnsi="Arial" w:cs="Arial"/>
          <w:b/>
          <w:bCs/>
          <w:sz w:val="26"/>
          <w:szCs w:val="26"/>
        </w:rPr>
        <w:t>Fe</w:t>
      </w:r>
      <w:r>
        <w:rPr>
          <w:rFonts w:ascii="Arial" w:hAnsi="Arial" w:cs="Arial"/>
          <w:b/>
          <w:bCs/>
          <w:sz w:val="26"/>
          <w:szCs w:val="26"/>
          <w:vertAlign w:val="subscript"/>
        </w:rPr>
        <w:t>x</w:t>
      </w:r>
      <w:r>
        <w:rPr>
          <w:rFonts w:ascii="Arial" w:hAnsi="Arial" w:cs="Arial"/>
          <w:b/>
          <w:bCs/>
          <w:sz w:val="26"/>
          <w:szCs w:val="26"/>
        </w:rPr>
        <w:t>O</w:t>
      </w:r>
      <w:r>
        <w:rPr>
          <w:rFonts w:ascii="Arial" w:hAnsi="Arial" w:cs="Arial"/>
          <w:b/>
          <w:bCs/>
          <w:sz w:val="26"/>
          <w:szCs w:val="26"/>
          <w:vertAlign w:val="subscript"/>
        </w:rPr>
        <w:t>3-δ</w:t>
      </w:r>
      <w:r>
        <w:rPr>
          <w:rFonts w:ascii="Arial" w:hAnsi="Arial" w:cs="Arial"/>
          <w:b/>
          <w:bCs/>
          <w:sz w:val="26"/>
          <w:szCs w:val="26"/>
        </w:rPr>
        <w:t xml:space="preserve"> Model Series</w:t>
      </w:r>
    </w:p>
    <w:p w14:paraId="220DFE60" w14:textId="77777777" w:rsidR="00395E98" w:rsidRDefault="00395E98">
      <w:pPr>
        <w:pStyle w:val="NormalWeb"/>
        <w:rPr>
          <w:rFonts w:ascii="Arial" w:hAnsi="Arial" w:cs="Arial"/>
          <w:sz w:val="21"/>
          <w:szCs w:val="21"/>
        </w:rPr>
      </w:pPr>
      <w:r>
        <w:rPr>
          <w:rFonts w:ascii="Arial" w:hAnsi="Arial" w:cs="Arial"/>
          <w:sz w:val="21"/>
          <w:szCs w:val="21"/>
        </w:rPr>
        <w:t> </w:t>
      </w:r>
    </w:p>
    <w:p w14:paraId="0DE47AED" w14:textId="77777777" w:rsidR="00395E98" w:rsidRDefault="00395E9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B972C17"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C859B"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AE44E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6DFD6C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8328B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E2E2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w:t>
            </w:r>
            <w:r>
              <w:rPr>
                <w:rFonts w:ascii="Arial" w:eastAsia="Times New Roman" w:hAnsi="Arial" w:cs="Arial"/>
                <w:sz w:val="19"/>
                <w:szCs w:val="19"/>
              </w:rPr>
              <w:t>Friedrich Wilhelm Bessel Research Award winner of the AvH Foundation (2021), member of the Humboldt Network</w:t>
            </w:r>
          </w:p>
        </w:tc>
      </w:tr>
      <w:tr w:rsidR="00000000" w14:paraId="676A08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271F7E"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EFE67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348573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CF2E59"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31FB6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37FB021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9BD07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99C3D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1FB01C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8D3222"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918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42408640" w14:textId="77777777" w:rsidR="00395E98" w:rsidRDefault="00395E98">
      <w:pPr>
        <w:pStyle w:val="NormalWeb"/>
        <w:rPr>
          <w:rFonts w:ascii="Arial" w:hAnsi="Arial" w:cs="Arial"/>
          <w:sz w:val="21"/>
          <w:szCs w:val="21"/>
        </w:rPr>
      </w:pPr>
      <w:r>
        <w:rPr>
          <w:rFonts w:ascii="Arial" w:hAnsi="Arial" w:cs="Arial"/>
          <w:sz w:val="21"/>
          <w:szCs w:val="21"/>
        </w:rPr>
        <w:t> </w:t>
      </w:r>
    </w:p>
    <w:p w14:paraId="406B259C" w14:textId="77777777" w:rsidR="00395E98" w:rsidRDefault="00395E98">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698E9BC6" w14:textId="77777777" w:rsidR="00395E98" w:rsidRDefault="00395E98">
      <w:pPr>
        <w:pStyle w:val="Heading1"/>
        <w:pageBreakBefore/>
        <w:rPr>
          <w:rFonts w:ascii="Arial" w:eastAsia="Times New Roman" w:hAnsi="Arial" w:cs="Arial"/>
        </w:rPr>
      </w:pPr>
      <w:r>
        <w:rPr>
          <w:rFonts w:ascii="Arial" w:eastAsia="Times New Roman" w:hAnsi="Arial" w:cs="Arial"/>
        </w:rPr>
        <w:lastRenderedPageBreak/>
        <w:t>Research Proposal (Exposé)</w:t>
      </w:r>
    </w:p>
    <w:p w14:paraId="1EFAED6C" w14:textId="77777777" w:rsidR="00395E98" w:rsidRDefault="00395E98">
      <w:pPr>
        <w:pStyle w:val="Heading2"/>
        <w:rPr>
          <w:rFonts w:ascii="Arial" w:eastAsia="Times New Roman" w:hAnsi="Arial" w:cs="Arial"/>
        </w:rPr>
      </w:pPr>
      <w:r>
        <w:rPr>
          <w:rFonts w:ascii="Arial" w:eastAsia="Times New Roman" w:hAnsi="Arial" w:cs="Arial"/>
        </w:rPr>
        <w:t>1  Research question and scientific significance</w:t>
      </w:r>
    </w:p>
    <w:p w14:paraId="1B7310B1" w14:textId="77777777" w:rsidR="00395E98" w:rsidRDefault="00395E98">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system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(STF), the one perovskite series in which intrinsic switching, an inert/graphene electrode platform and a quantitatively mapped defect chemistry already coexist. A decisive design requirement drives this choice: in many perovskite memristors – including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system of my own doctorate – robust switching requires a </w:t>
      </w:r>
      <w:r>
        <w:rPr>
          <w:rFonts w:ascii="Arial" w:hAnsi="Arial" w:cs="Arial"/>
          <w:i/>
          <w:iCs/>
          <w:sz w:val="21"/>
          <w:szCs w:val="21"/>
        </w:rPr>
        <w:t>reactive</w:t>
      </w:r>
      <w:r>
        <w:rPr>
          <w:rFonts w:ascii="Arial" w:hAnsi="Arial" w:cs="Arial"/>
          <w:sz w:val="21"/>
          <w:szCs w:val="21"/>
        </w:rPr>
        <w:t xml:space="preserve"> metal electrode, and the oxygen exchange with the resulting second oxide (TiO</w:t>
      </w:r>
      <w:r>
        <w:rPr>
          <w:rFonts w:ascii="Arial" w:hAnsi="Arial" w:cs="Arial"/>
          <w:sz w:val="21"/>
          <w:szCs w:val="21"/>
          <w:vertAlign w:val="subscript"/>
        </w:rPr>
        <w:t>x</w:t>
      </w:r>
      <w:r>
        <w:rPr>
          <w:rFonts w:ascii="Arial" w:hAnsi="Arial" w:cs="Arial"/>
          <w:sz w:val="21"/>
          <w:szCs w:val="21"/>
        </w:rPr>
        <w:t>, AlO</w:t>
      </w:r>
      <w:r>
        <w:rPr>
          <w:rFonts w:ascii="Arial" w:hAnsi="Arial" w:cs="Arial"/>
          <w:sz w:val="21"/>
          <w:szCs w:val="21"/>
          <w:vertAlign w:val="subscript"/>
        </w:rPr>
        <w:t>x</w:t>
      </w:r>
      <w:r>
        <w:rPr>
          <w:rFonts w:ascii="Arial" w:hAnsi="Arial" w:cs="Arial"/>
          <w:sz w:val="21"/>
          <w:szCs w:val="21"/>
        </w:rPr>
        <w:t>) then dominates the mechanism [23, </w:t>
      </w:r>
      <w:r>
        <w:rPr>
          <w:rFonts w:ascii="Arial" w:hAnsi="Arial" w:cs="Arial"/>
          <w:sz w:val="21"/>
          <w:szCs w:val="21"/>
        </w:rPr>
        <w:t xml:space="preserve">24]. A clean covalency study must instead use a system whose oxygen balance stays </w:t>
      </w:r>
      <w:r>
        <w:rPr>
          <w:rFonts w:ascii="Arial" w:hAnsi="Arial" w:cs="Arial"/>
          <w:i/>
          <w:iCs/>
          <w:sz w:val="21"/>
          <w:szCs w:val="21"/>
        </w:rPr>
        <w:t>inside</w:t>
      </w:r>
      <w:r>
        <w:rPr>
          <w:rFonts w:ascii="Arial" w:hAnsi="Arial" w:cs="Arial"/>
          <w:sz w:val="21"/>
          <w:szCs w:val="21"/>
        </w:rPr>
        <w:t xml:space="preserve"> the oxide.</w:t>
      </w:r>
    </w:p>
    <w:p w14:paraId="28542294" w14:textId="77777777" w:rsidR="00395E98" w:rsidRDefault="00395E98">
      <w:pPr>
        <w:pStyle w:val="NormalWeb"/>
        <w:rPr>
          <w:rFonts w:ascii="Arial" w:hAnsi="Arial" w:cs="Arial"/>
          <w:sz w:val="21"/>
          <w:szCs w:val="21"/>
        </w:rPr>
      </w:pPr>
      <w:r>
        <w:rPr>
          <w:rFonts w:ascii="Arial" w:hAnsi="Arial" w:cs="Arial"/>
          <w:sz w:val="21"/>
          <w:szCs w:val="21"/>
        </w:rPr>
        <w:t xml:space="preserve">STF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covalency/reducibility axis is quantitatively mapped:</w:t>
      </w:r>
      <w:r>
        <w:rPr>
          <w:rFonts w:ascii="Arial" w:hAnsi="Arial" w:cs="Arial"/>
          <w:sz w:val="21"/>
          <w:szCs w:val="21"/>
        </w:rPr>
        <w:t xml:space="preserve"> STF forms a continuous cubic solid solution between SrTiO</w:t>
      </w:r>
      <w:r>
        <w:rPr>
          <w:rFonts w:ascii="Arial" w:hAnsi="Arial" w:cs="Arial"/>
          <w:sz w:val="21"/>
          <w:szCs w:val="21"/>
          <w:vertAlign w:val="subscript"/>
        </w:rPr>
        <w:t>3</w:t>
      </w:r>
      <w:r>
        <w:rPr>
          <w:rFonts w:ascii="Arial" w:hAnsi="Arial" w:cs="Arial"/>
          <w:sz w:val="21"/>
          <w:szCs w:val="21"/>
        </w:rPr>
        <w:t xml:space="preserve"> and SrFeO</w:t>
      </w:r>
      <w:r>
        <w:rPr>
          <w:rFonts w:ascii="Arial" w:hAnsi="Arial" w:cs="Arial"/>
          <w:sz w:val="21"/>
          <w:szCs w:val="21"/>
          <w:vertAlign w:val="subscript"/>
        </w:rPr>
        <w:t>3-δ</w:t>
      </w:r>
      <w:r>
        <w:rPr>
          <w:rFonts w:ascii="Arial" w:hAnsi="Arial" w:cs="Arial"/>
          <w:sz w:val="21"/>
          <w:szCs w:val="21"/>
        </w:rPr>
        <w:t>, and its defect chemistry is known in closed form – band gap E</w:t>
      </w:r>
      <w:r>
        <w:rPr>
          <w:rFonts w:ascii="Arial" w:hAnsi="Arial" w:cs="Arial"/>
          <w:sz w:val="21"/>
          <w:szCs w:val="21"/>
          <w:vertAlign w:val="subscript"/>
        </w:rPr>
        <w:t>g</w:t>
      </w:r>
      <w:r>
        <w:rPr>
          <w:rFonts w:ascii="Arial" w:hAnsi="Arial" w:cs="Arial"/>
          <w:sz w:val="21"/>
          <w:szCs w:val="21"/>
        </w:rPr>
        <w:t>(x) = 3.2 − 1.9x + 0.5x² eV and reduction enthalpy ΔH</w:t>
      </w:r>
      <w:r>
        <w:rPr>
          <w:rFonts w:ascii="Arial" w:hAnsi="Arial" w:cs="Arial"/>
          <w:sz w:val="21"/>
          <w:szCs w:val="21"/>
          <w:vertAlign w:val="subscript"/>
        </w:rPr>
        <w:t>red</w:t>
      </w:r>
      <w:r>
        <w:rPr>
          <w:rFonts w:ascii="Arial" w:hAnsi="Arial" w:cs="Arial"/>
          <w:sz w:val="21"/>
          <w:szCs w:val="21"/>
        </w:rPr>
        <w:t>(x) = 5.8 − 3.4x + 1.7x² eV [9]; the Fe–</w:t>
      </w:r>
      <w:r>
        <w:rPr>
          <w:rFonts w:ascii="Arial" w:hAnsi="Arial" w:cs="Arial"/>
          <w:sz w:val="21"/>
          <w:szCs w:val="21"/>
        </w:rPr>
        <w:t xml:space="preserve">O hybridisation across the series is documented by X-ray absorption [10–12]. The Fe content thus tunes the ease of oxygen-vacancy formation continuously within one perovskite host – the descriptor axis of this project, with literature values to test against. </w:t>
      </w:r>
      <w:r>
        <w:rPr>
          <w:rFonts w:ascii="Arial" w:hAnsi="Arial" w:cs="Arial"/>
          <w:b/>
          <w:bCs/>
          <w:sz w:val="21"/>
          <w:szCs w:val="21"/>
        </w:rPr>
        <w:t>(ii) The switching axis is intrinsic – no reactive electrode required:</w:t>
      </w:r>
      <w:r>
        <w:rPr>
          <w:rFonts w:ascii="Arial" w:hAnsi="Arial" w:cs="Arial"/>
          <w:sz w:val="21"/>
          <w:szCs w:val="21"/>
        </w:rPr>
        <w:t xml:space="preserve"> Fe-doped SrTiO</w:t>
      </w:r>
      <w:r>
        <w:rPr>
          <w:rFonts w:ascii="Arial" w:hAnsi="Arial" w:cs="Arial"/>
          <w:sz w:val="21"/>
          <w:szCs w:val="21"/>
          <w:vertAlign w:val="subscript"/>
        </w:rPr>
        <w:t>3</w:t>
      </w:r>
      <w:r>
        <w:rPr>
          <w:rFonts w:ascii="Arial" w:hAnsi="Arial" w:cs="Arial"/>
          <w:sz w:val="21"/>
          <w:szCs w:val="21"/>
        </w:rPr>
        <w:t xml:space="preserve"> devices with inert electrodes switch via oxygen-vacancy modulation of the Schottky barrier (“eightwise”) as well as via intrinsic filaments [13, 14]; Cr-doped SrTiO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 xml:space="preserve">switches with inert electrodes with operando-XAS-proven vacancy drift [15]; and spectromicroscopy has traced the mechanism to oxygen migration and Ti valence changes within the oxide itself [16]. Crucially, the photoelectron-transparent </w:t>
      </w:r>
      <w:r>
        <w:rPr>
          <w:rFonts w:ascii="Arial" w:hAnsi="Arial" w:cs="Arial"/>
          <w:i/>
          <w:iCs/>
          <w:sz w:val="21"/>
          <w:szCs w:val="21"/>
        </w:rPr>
        <w:t>graphene top-electrode platform has been demonstrated on exactly this materials system</w:t>
      </w:r>
      <w:r>
        <w:rPr>
          <w:rFonts w:ascii="Arial" w:hAnsi="Arial" w:cs="Arial"/>
          <w:sz w:val="21"/>
          <w:szCs w:val="21"/>
        </w:rPr>
        <w:t xml:space="preserve"> [17, 18]. Graphene is not merely convenient here but scientifically necessary: </w:t>
      </w:r>
      <w:r>
        <w:rPr>
          <w:rFonts w:ascii="Arial" w:hAnsi="Arial" w:cs="Arial"/>
          <w:sz w:val="21"/>
          <w:szCs w:val="21"/>
          <w:vertAlign w:val="superscript"/>
        </w:rPr>
        <w:t>18</w:t>
      </w:r>
      <w:r>
        <w:rPr>
          <w:rFonts w:ascii="Arial" w:hAnsi="Arial" w:cs="Arial"/>
          <w:sz w:val="21"/>
          <w:szCs w:val="21"/>
        </w:rPr>
        <w:t xml:space="preserve">O-tracer and humidity studies show that under permeable electrodes, eightwise switching exchanges oxygen with ambient water [19, 20] – only a gas-tight (graphene-sealed) electrode makes the oxygen balance truly internal and the covalency–switching correlation unambiguous. </w:t>
      </w:r>
      <w:r>
        <w:rPr>
          <w:rFonts w:ascii="Arial" w:hAnsi="Arial" w:cs="Arial"/>
          <w:b/>
          <w:bCs/>
          <w:sz w:val="21"/>
          <w:szCs w:val="21"/>
        </w:rPr>
        <w:t>(iii) The mechanism is stable across the series:</w:t>
      </w:r>
      <w:r>
        <w:rPr>
          <w:rFonts w:ascii="Arial" w:hAnsi="Arial" w:cs="Arial"/>
          <w:sz w:val="21"/>
          <w:szCs w:val="21"/>
        </w:rPr>
        <w:t xml:space="preserve"> for x ≤ 0.3, STF remains a cubic, p-type semiconducting perovskite – no topotactic brownmillerite transition and no metal–</w:t>
      </w:r>
      <w:r>
        <w:rPr>
          <w:rFonts w:ascii="Arial" w:hAnsi="Arial" w:cs="Arial"/>
          <w:sz w:val="21"/>
          <w:szCs w:val="21"/>
        </w:rPr>
        <w:t xml:space="preserve">insulator transition interferes [9], in deliberate contrast to the manganite, ferrite and cobaltite families. </w:t>
      </w:r>
      <w:r>
        <w:rPr>
          <w:rFonts w:ascii="Arial" w:hAnsi="Arial" w:cs="Arial"/>
          <w:b/>
          <w:bCs/>
          <w:sz w:val="21"/>
          <w:szCs w:val="21"/>
        </w:rPr>
        <w:t>The gap:</w:t>
      </w:r>
      <w:r>
        <w:rPr>
          <w:rFonts w:ascii="Arial" w:hAnsi="Arial" w:cs="Arial"/>
          <w:sz w:val="21"/>
          <w:szCs w:val="21"/>
        </w:rPr>
        <w:t xml:space="preserve"> a systematic Fe-content series in epitaxial devices under inert/graphene electrodes does not exist – published composition series were measured either with reactive electrodes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 xml:space="preserve">[23], where the electrode oxide dominates the mechanism [24]) or on polycrystalline films in a narrow composition window [22]. My central hypothesis: the switching figures of merit of intrinsic STF devices scale with the covalency/reduction-enthalpy descriptor, with an optimum of the usable window at intermediate x – and the descriptor is </w:t>
      </w:r>
      <w:r>
        <w:rPr>
          <w:rFonts w:ascii="Arial" w:hAnsi="Arial" w:cs="Arial"/>
          <w:i/>
          <w:iCs/>
          <w:sz w:val="21"/>
          <w:szCs w:val="21"/>
        </w:rPr>
        <w:t>measured</w:t>
      </w:r>
      <w:r>
        <w:rPr>
          <w:rFonts w:ascii="Arial" w:hAnsi="Arial" w:cs="Arial"/>
          <w:sz w:val="21"/>
          <w:szCs w:val="21"/>
        </w:rPr>
        <w:t>, not merely computed [11].</w:t>
      </w:r>
    </w:p>
    <w:p w14:paraId="3EBF5E29" w14:textId="77777777" w:rsidR="00395E98" w:rsidRDefault="00395E98">
      <w:pPr>
        <w:pStyle w:val="Heading2"/>
        <w:rPr>
          <w:rFonts w:ascii="Arial" w:eastAsia="Times New Roman" w:hAnsi="Arial" w:cs="Arial"/>
        </w:rPr>
      </w:pPr>
      <w:r>
        <w:rPr>
          <w:rFonts w:ascii="Arial" w:eastAsia="Times New Roman" w:hAnsi="Arial" w:cs="Arial"/>
        </w:rPr>
        <w:t>2  Why the Chueh group at Stanford is the ideal place</w:t>
      </w:r>
    </w:p>
    <w:p w14:paraId="4E8C0EEE" w14:textId="77777777" w:rsidR="00395E98" w:rsidRDefault="00395E98">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w:t>
      </w:r>
      <w:r>
        <w:rPr>
          <w:rFonts w:ascii="Arial" w:hAnsi="Arial" w:cs="Arial"/>
          <w:sz w:val="21"/>
          <w:szCs w:val="21"/>
        </w:rPr>
        <w:t>erritory. The group’s seminal work on the redox activity of oxygen anions in oxygen-deficient perovskites [26]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[27] – with Christoph Baeumer from the Jülich school as first author – </w:t>
      </w:r>
      <w:r>
        <w:rPr>
          <w:rFonts w:ascii="Arial" w:hAnsi="Arial" w:cs="Arial"/>
          <w:sz w:val="21"/>
          <w:szCs w:val="21"/>
        </w:rPr>
        <w:t>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w:t>
      </w:r>
      <w:r>
        <w:rPr>
          <w:rFonts w:ascii="Arial" w:hAnsi="Arial" w:cs="Arial"/>
          <w:sz w:val="21"/>
          <w:szCs w:val="21"/>
        </w:rPr>
        <w:t xml:space="preserve"> at the Peter Gr</w:t>
      </w:r>
      <w:r>
        <w:rPr>
          <w:rFonts w:ascii="Arial" w:hAnsi="Arial" w:cs="Arial"/>
          <w:sz w:val="21"/>
          <w:szCs w:val="21"/>
        </w:rPr>
        <w:t>ünberg Institute (PGI-7, group of Prof. Dittmann) [E1–E3] – the very school that established both the Fe:SrTiO</w:t>
      </w:r>
      <w:r>
        <w:rPr>
          <w:rFonts w:ascii="Arial" w:hAnsi="Arial" w:cs="Arial"/>
          <w:sz w:val="21"/>
          <w:szCs w:val="21"/>
          <w:vertAlign w:val="subscript"/>
        </w:rPr>
        <w:t>3</w:t>
      </w:r>
      <w:r>
        <w:rPr>
          <w:rFonts w:ascii="Arial" w:hAnsi="Arial" w:cs="Arial"/>
          <w:sz w:val="21"/>
          <w:szCs w:val="21"/>
        </w:rPr>
        <w:t xml:space="preserve"> switching platform and the graphene-electrode spectroscopy concept [13, 16–18], whose processing and metrology I know first-hand. This two-sided fit is the strongest possible de-risking for a 24-month project: the device platform is proven Jü</w:t>
      </w:r>
      <w:r>
        <w:rPr>
          <w:rFonts w:ascii="Arial" w:hAnsi="Arial" w:cs="Arial"/>
          <w:sz w:val="21"/>
          <w:szCs w:val="21"/>
        </w:rPr>
        <w:t xml:space="preserve">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w:t>
      </w:r>
      <w:r>
        <w:rPr>
          <w:rFonts w:ascii="Arial" w:hAnsi="Arial" w:cs="Arial"/>
          <w:sz w:val="21"/>
          <w:szCs w:val="21"/>
        </w:rPr>
        <w:t>the host eligibility required by the programme is given.</w:t>
      </w:r>
    </w:p>
    <w:p w14:paraId="6E25979A" w14:textId="77777777" w:rsidR="00395E98" w:rsidRDefault="00395E98">
      <w:pPr>
        <w:pStyle w:val="Heading2"/>
        <w:rPr>
          <w:rFonts w:ascii="Arial" w:eastAsia="Times New Roman" w:hAnsi="Arial" w:cs="Arial"/>
        </w:rPr>
      </w:pPr>
      <w:r>
        <w:rPr>
          <w:rFonts w:ascii="Arial" w:eastAsia="Times New Roman" w:hAnsi="Arial" w:cs="Arial"/>
        </w:rPr>
        <w:t>3  Work programme (24 months)</w:t>
      </w:r>
    </w:p>
    <w:p w14:paraId="3335D24D" w14:textId="77777777" w:rsidR="00395E98" w:rsidRDefault="00395E98">
      <w:pPr>
        <w:pStyle w:val="Heading3"/>
        <w:rPr>
          <w:rFonts w:ascii="Arial" w:eastAsia="Times New Roman" w:hAnsi="Arial" w:cs="Arial"/>
        </w:rPr>
      </w:pPr>
      <w:r>
        <w:rPr>
          <w:rFonts w:ascii="Arial" w:eastAsia="Times New Roman" w:hAnsi="Arial" w:cs="Arial"/>
        </w:rPr>
        <w:t>WP1 – Synthesis and descriptor measurement of the STF series (months 1–10)</w:t>
      </w:r>
    </w:p>
    <w:p w14:paraId="32D1A86B" w14:textId="77777777" w:rsidR="00395E98" w:rsidRDefault="00395E98">
      <w:pPr>
        <w:pStyle w:val="NormalWeb"/>
        <w:rPr>
          <w:rFonts w:ascii="Arial" w:hAnsi="Arial" w:cs="Arial"/>
          <w:sz w:val="21"/>
          <w:szCs w:val="21"/>
        </w:rPr>
      </w:pPr>
      <w:r>
        <w:rPr>
          <w:rFonts w:ascii="Arial" w:hAnsi="Arial" w:cs="Arial"/>
          <w:sz w:val="21"/>
          <w:szCs w:val="21"/>
        </w:rPr>
        <w:t>PLD growth of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films (x = 0; 0.02; 0.05; 0.1; 0.2; 0.3 – from the dilute-dopant regime of the established Fe:SrTiO</w:t>
      </w:r>
      <w:r>
        <w:rPr>
          <w:rFonts w:ascii="Arial" w:hAnsi="Arial" w:cs="Arial"/>
          <w:sz w:val="21"/>
          <w:szCs w:val="21"/>
          <w:vertAlign w:val="subscript"/>
        </w:rPr>
        <w:t>3</w:t>
      </w:r>
      <w:r>
        <w:rPr>
          <w:rFonts w:ascii="Arial" w:hAnsi="Arial" w:cs="Arial"/>
          <w:sz w:val="21"/>
          <w:szCs w:val="21"/>
        </w:rPr>
        <w:t xml:space="preserve"> devices [13] into the mixed-conducting regime, safely below the vacancy-ordering region) on Nb:SrTiO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substrates in the Stanford/SLAC thin-film laboratories; structural validation (XRD, AFM); cation and oxygen stoichiometry (XPS, RBS where required). In parallel, first XAS campaign at SSRL: Fe-L</w:t>
      </w:r>
      <w:r>
        <w:rPr>
          <w:rFonts w:ascii="Arial" w:hAnsi="Arial" w:cs="Arial"/>
          <w:sz w:val="21"/>
          <w:szCs w:val="21"/>
          <w:vertAlign w:val="subscript"/>
        </w:rPr>
        <w:t>2,3</w:t>
      </w:r>
      <w:r>
        <w:rPr>
          <w:rFonts w:ascii="Arial" w:hAnsi="Arial" w:cs="Arial"/>
          <w:sz w:val="21"/>
          <w:szCs w:val="21"/>
        </w:rPr>
        <w:t xml:space="preserve"> and Ti-L</w:t>
      </w:r>
      <w:r>
        <w:rPr>
          <w:rFonts w:ascii="Arial" w:hAnsi="Arial" w:cs="Arial"/>
          <w:sz w:val="21"/>
          <w:szCs w:val="21"/>
          <w:vertAlign w:val="subscript"/>
        </w:rPr>
        <w:t>2,3</w:t>
      </w:r>
      <w:r>
        <w:rPr>
          <w:rFonts w:ascii="Arial" w:hAnsi="Arial" w:cs="Arial"/>
          <w:sz w:val="21"/>
          <w:szCs w:val="21"/>
        </w:rPr>
        <w:t xml:space="preserve"> valence analysis and O-K pre-edge quantification following [11] for every composition → experimental covalency scale of the series, benchmarked against the closed-form defect model [9] and the published STF spectroscopy [10]. </w:t>
      </w:r>
      <w:r>
        <w:rPr>
          <w:rFonts w:ascii="Arial" w:hAnsi="Arial" w:cs="Arial"/>
          <w:i/>
          <w:iCs/>
          <w:sz w:val="21"/>
          <w:szCs w:val="21"/>
        </w:rPr>
        <w:t>Milestone M1 (month 10): validated sample series with complete descriptor set.</w:t>
      </w:r>
    </w:p>
    <w:p w14:paraId="3036DF8C" w14:textId="77777777" w:rsidR="00395E98" w:rsidRDefault="00395E98">
      <w:pPr>
        <w:pStyle w:val="Heading3"/>
        <w:rPr>
          <w:rFonts w:ascii="Arial" w:eastAsia="Times New Roman" w:hAnsi="Arial" w:cs="Arial"/>
        </w:rPr>
      </w:pPr>
      <w:r>
        <w:rPr>
          <w:rFonts w:ascii="Arial" w:eastAsia="Times New Roman" w:hAnsi="Arial" w:cs="Arial"/>
        </w:rPr>
        <w:t>WP2 – Intrinsic devices and switching characterisation (months 8–18)</w:t>
      </w:r>
    </w:p>
    <w:p w14:paraId="442ACD0F" w14:textId="77777777" w:rsidR="00395E98" w:rsidRDefault="00395E98">
      <w:pPr>
        <w:pStyle w:val="NormalWeb"/>
        <w:rPr>
          <w:rFonts w:ascii="Arial" w:hAnsi="Arial" w:cs="Arial"/>
          <w:sz w:val="21"/>
          <w:szCs w:val="21"/>
        </w:rPr>
      </w:pPr>
      <w:r>
        <w:rPr>
          <w:rFonts w:ascii="Arial" w:hAnsi="Arial" w:cs="Arial"/>
          <w:sz w:val="21"/>
          <w:szCs w:val="21"/>
        </w:rPr>
        <w:t xml:space="preserve">Two inert top-electrode flavours per composition, processed photolithographically with ≥ 30 nominally identical cells each: (i) Pt pads as the workhorse geometry, and (ii) </w:t>
      </w:r>
      <w:r>
        <w:rPr>
          <w:rFonts w:ascii="Arial" w:hAnsi="Arial" w:cs="Arial"/>
          <w:i/>
          <w:iCs/>
          <w:sz w:val="21"/>
          <w:szCs w:val="21"/>
        </w:rPr>
        <w:t>graphene-sealed cells</w:t>
      </w:r>
      <w:r>
        <w:rPr>
          <w:rFonts w:ascii="Arial" w:hAnsi="Arial" w:cs="Arial"/>
          <w:sz w:val="21"/>
          <w:szCs w:val="21"/>
        </w:rPr>
        <w:t xml:space="preserve"> – photoelectron-transparent and gas-tight, following the platform demonstrated on SrTiO</w:t>
      </w:r>
      <w:r>
        <w:rPr>
          <w:rFonts w:ascii="Arial" w:hAnsi="Arial" w:cs="Arial"/>
          <w:sz w:val="21"/>
          <w:szCs w:val="21"/>
          <w:vertAlign w:val="subscript"/>
        </w:rPr>
        <w:t>3</w:t>
      </w:r>
      <w:r>
        <w:rPr>
          <w:rFonts w:ascii="Arial" w:hAnsi="Arial" w:cs="Arial"/>
          <w:sz w:val="21"/>
          <w:szCs w:val="21"/>
        </w:rPr>
        <w:t xml:space="preserve"> [17, 18] – which keep the oxygen balance strictly internal [19, </w:t>
      </w:r>
      <w:r>
        <w:rPr>
          <w:rFonts w:ascii="Arial" w:hAnsi="Arial" w:cs="Arial"/>
          <w:sz w:val="21"/>
          <w:szCs w:val="21"/>
        </w:rPr>
        <w:t xml:space="preserve">20] and remain spectroscopy-ready. Interface control against unintentional layers follows the lessons of [21] (epitaxial platform, reference samples). Quasistatic and pulsed characterisation of the eightwise regime [13, 14] under the statistics protocol established in my doctorate (ON/OFF at defined read-out voltage, forming requirement, kinetics, temperature-accelerated retention, endurance). </w:t>
      </w:r>
      <w:r>
        <w:rPr>
          <w:rFonts w:ascii="Arial" w:hAnsi="Arial" w:cs="Arial"/>
          <w:i/>
          <w:iCs/>
          <w:sz w:val="21"/>
          <w:szCs w:val="21"/>
        </w:rPr>
        <w:t>Milestone M2 (month 18): switching figures of merit as a function of x, in both geometries, with robust statistics.</w:t>
      </w:r>
    </w:p>
    <w:p w14:paraId="39099210" w14:textId="77777777" w:rsidR="00395E98" w:rsidRDefault="00395E98">
      <w:pPr>
        <w:pStyle w:val="Heading3"/>
        <w:rPr>
          <w:rFonts w:ascii="Arial" w:eastAsia="Times New Roman" w:hAnsi="Arial" w:cs="Arial"/>
        </w:rPr>
      </w:pPr>
      <w:r>
        <w:rPr>
          <w:rFonts w:ascii="Arial" w:eastAsia="Times New Roman" w:hAnsi="Arial" w:cs="Arial"/>
        </w:rPr>
        <w:t>WP3 – Correlation, operando validation and publication (months 16–24)</w:t>
      </w:r>
    </w:p>
    <w:p w14:paraId="3F3552F1" w14:textId="77777777" w:rsidR="00395E98" w:rsidRDefault="00395E98">
      <w:pPr>
        <w:pStyle w:val="NormalWeb"/>
        <w:rPr>
          <w:rFonts w:ascii="Arial" w:hAnsi="Arial" w:cs="Arial"/>
          <w:sz w:val="21"/>
          <w:szCs w:val="21"/>
        </w:rPr>
      </w:pPr>
      <w:r>
        <w:rPr>
          <w:rFonts w:ascii="Arial" w:hAnsi="Arial" w:cs="Arial"/>
          <w:sz w:val="21"/>
          <w:szCs w:val="21"/>
        </w:rPr>
        <w:t>Correlation analysis covalency (XAS) ↔ ΔH</w:t>
      </w:r>
      <w:r>
        <w:rPr>
          <w:rFonts w:ascii="Arial" w:hAnsi="Arial" w:cs="Arial"/>
          <w:sz w:val="21"/>
          <w:szCs w:val="21"/>
          <w:vertAlign w:val="subscript"/>
        </w:rPr>
        <w:t>red</w:t>
      </w:r>
      <w:r>
        <w:rPr>
          <w:rFonts w:ascii="Arial" w:hAnsi="Arial" w:cs="Arial"/>
          <w:sz w:val="21"/>
          <w:szCs w:val="21"/>
        </w:rPr>
        <w:t>/E</w:t>
      </w:r>
      <w:r>
        <w:rPr>
          <w:rFonts w:ascii="Arial" w:hAnsi="Arial" w:cs="Arial"/>
          <w:sz w:val="21"/>
          <w:szCs w:val="21"/>
          <w:vertAlign w:val="subscript"/>
        </w:rPr>
        <w:t>V</w:t>
      </w:r>
      <w:r>
        <w:rPr>
          <w:rFonts w:ascii="Arial" w:hAnsi="Arial" w:cs="Arial"/>
          <w:sz w:val="21"/>
          <w:szCs w:val="21"/>
        </w:rPr>
        <w:t xml:space="preserve"> (defect model [9], descriptor models [5–8]) ↔ switching metrics; test of the optimum hypothesis. Second SSRL campaign: XAS </w:t>
      </w:r>
      <w:r>
        <w:rPr>
          <w:rFonts w:ascii="Arial" w:hAnsi="Arial" w:cs="Arial"/>
          <w:i/>
          <w:iCs/>
          <w:sz w:val="21"/>
          <w:szCs w:val="21"/>
        </w:rPr>
        <w:t>through the graphene electrode</w:t>
      </w:r>
      <w:r>
        <w:rPr>
          <w:rFonts w:ascii="Arial" w:hAnsi="Arial" w:cs="Arial"/>
          <w:sz w:val="21"/>
          <w:szCs w:val="21"/>
        </w:rPr>
        <w:t xml:space="preserve"> on switched cells (ex-situ before/after switching, operando if successful, following [17]) to verify that the composition-dependent differences rest on different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 xml:space="preserve">dynamics inside the oxide. Publication of the first covalency-resolved study of intrinsically switching perovskite devices; dataset released following FAIR principles. </w:t>
      </w:r>
      <w:r>
        <w:rPr>
          <w:rFonts w:ascii="Arial" w:hAnsi="Arial" w:cs="Arial"/>
          <w:i/>
          <w:iCs/>
          <w:sz w:val="21"/>
          <w:szCs w:val="21"/>
        </w:rPr>
        <w:t>Milestone M3 (month 24): submitted publication(s), public dataset.</w:t>
      </w:r>
    </w:p>
    <w:p w14:paraId="7BBBCD4D" w14:textId="77777777" w:rsidR="00395E98" w:rsidRDefault="00395E98">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44160EB3"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EBFF66F"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5DFD1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1C2D2B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A1B7AC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B41B6C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30EAB37"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4CB4788"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83EB45"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0E59F1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7CC0D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3EC9D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D1E44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2FEB0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79CC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26F555"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9E92B3"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EA82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36CDAB"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CF49C" w14:textId="77777777" w:rsidR="00395E98" w:rsidRDefault="00395E98">
            <w:pPr>
              <w:spacing w:before="120" w:after="200"/>
              <w:jc w:val="center"/>
              <w:rPr>
                <w:rFonts w:eastAsia="Times New Roman"/>
                <w:sz w:val="20"/>
                <w:szCs w:val="20"/>
              </w:rPr>
            </w:pPr>
          </w:p>
        </w:tc>
      </w:tr>
      <w:tr w:rsidR="00000000" w14:paraId="7A41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E6079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F0EF0"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D0587"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B9B4B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57359D"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B08D3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2583BE"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BDBED"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70ED04" w14:textId="77777777" w:rsidR="00395E98" w:rsidRDefault="00395E98">
            <w:pPr>
              <w:spacing w:before="120" w:after="200"/>
              <w:jc w:val="center"/>
              <w:rPr>
                <w:rFonts w:eastAsia="Times New Roman"/>
                <w:sz w:val="20"/>
                <w:szCs w:val="20"/>
              </w:rPr>
            </w:pPr>
          </w:p>
        </w:tc>
      </w:tr>
      <w:tr w:rsidR="00000000" w14:paraId="7A0B3E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22F34"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99ACA3"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E5BF"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FAA5E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A8C3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308C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3B2F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45D2A6"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EFC20"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1C7ADCA0" w14:textId="77777777" w:rsidR="00395E98" w:rsidRDefault="00395E98">
      <w:pPr>
        <w:pStyle w:val="Heading2"/>
        <w:rPr>
          <w:rFonts w:ascii="Arial" w:eastAsia="Times New Roman" w:hAnsi="Arial" w:cs="Arial"/>
        </w:rPr>
      </w:pPr>
      <w:r>
        <w:rPr>
          <w:rFonts w:ascii="Arial" w:eastAsia="Times New Roman" w:hAnsi="Arial" w:cs="Arial"/>
        </w:rPr>
        <w:t>5  Career perspective and return strategy</w:t>
      </w:r>
    </w:p>
    <w:p w14:paraId="306EB2C7" w14:textId="77777777" w:rsidR="00395E98" w:rsidRDefault="00395E98">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w:t>
      </w:r>
      <w:r>
        <w:rPr>
          <w:rFonts w:ascii="Arial" w:hAnsi="Arial" w:cs="Arial"/>
          <w:sz w:val="21"/>
          <w:szCs w:val="21"/>
        </w:rPr>
        <w:t xml:space="preserve">and at the same time delivers the empirical foundation (the covalency-resolved intrinsic STF dataset) for the larger programme of a “treasure map” </w:t>
      </w:r>
      <w:r>
        <w:rPr>
          <w:rFonts w:ascii="Arial" w:hAnsi="Arial" w:cs="Arial"/>
          <w:sz w:val="21"/>
          <w:szCs w:val="21"/>
        </w:rPr>
        <w:t>of memristive oxides in analogy to the bonding-descriptor maps of Wuttig et al. [28]. The choice of STF for this fellowship is deliberate three times over: the switching stays inside the oxide (no reactive-electrode confounder), the graphene-sealed platform keeps it spectroscopy-ready and atmosphere-independent, and the mechanism is stable across the composition range. The subsequent group programme then scales the validated methodology to the mixed-valent A-site families (manganites, ferrites, cobaltites),</w:t>
      </w:r>
      <w:r>
        <w:rPr>
          <w:rFonts w:ascii="Arial" w:hAnsi="Arial" w:cs="Arial"/>
          <w:sz w:val="21"/>
          <w:szCs w:val="21"/>
        </w:rPr>
        <w:t xml:space="preserve"> where reactive interfaces and topotactic phase transitions are no longer confounders but become chartable mechanism boundaries on the map. The return is concretely planned: reintegration into the German oxide-electronics environment (FZ J</w:t>
      </w:r>
      <w:r>
        <w:rPr>
          <w:rFonts w:ascii="Arial" w:hAnsi="Arial" w:cs="Arial"/>
          <w:sz w:val="21"/>
          <w:szCs w:val="21"/>
        </w:rPr>
        <w:t>ülich/RWTH Aachen, JARA), supported by the Feodor Lynen Return Fellowship, with submission of the group proposal during the final year of the stay. The Stanford/SSRL collaboration built up abroad will be continued as the transatlantic bridge of the future group.</w:t>
      </w:r>
    </w:p>
    <w:p w14:paraId="21CD4F2A" w14:textId="77777777" w:rsidR="00395E98" w:rsidRDefault="00395E98">
      <w:pPr>
        <w:pStyle w:val="Heading2"/>
        <w:rPr>
          <w:rFonts w:ascii="Arial" w:eastAsia="Times New Roman" w:hAnsi="Arial" w:cs="Arial"/>
        </w:rPr>
      </w:pPr>
      <w:r>
        <w:rPr>
          <w:rFonts w:ascii="Arial" w:eastAsia="Times New Roman" w:hAnsi="Arial" w:cs="Arial"/>
        </w:rPr>
        <w:t>6  References</w:t>
      </w:r>
    </w:p>
    <w:p w14:paraId="5C62D40D" w14:textId="77777777" w:rsidR="00395E98" w:rsidRDefault="00395E98">
      <w:pPr>
        <w:spacing w:after="60"/>
        <w:ind w:hanging="480"/>
        <w:divId w:val="208340846"/>
        <w:rPr>
          <w:rFonts w:ascii="Arial" w:hAnsi="Arial" w:cs="Arial"/>
          <w:sz w:val="18"/>
          <w:szCs w:val="18"/>
        </w:rPr>
      </w:pPr>
      <w:r>
        <w:rPr>
          <w:rFonts w:ascii="Arial" w:hAnsi="Arial" w:cs="Arial"/>
          <w:sz w:val="18"/>
          <w:szCs w:val="18"/>
        </w:rPr>
        <w:t>[1] R. Waser, M. Aono, Nanoionics-based resistive switching memories. Nature Materials 6, 833–840 (2007).</w:t>
      </w:r>
    </w:p>
    <w:p w14:paraId="566DCFBD" w14:textId="77777777" w:rsidR="00395E98" w:rsidRDefault="00395E98">
      <w:pPr>
        <w:spacing w:after="60"/>
        <w:ind w:hanging="480"/>
        <w:divId w:val="208340846"/>
        <w:rPr>
          <w:rFonts w:ascii="Arial" w:hAnsi="Arial" w:cs="Arial"/>
          <w:sz w:val="18"/>
          <w:szCs w:val="18"/>
        </w:rPr>
      </w:pPr>
      <w:r>
        <w:rPr>
          <w:rFonts w:ascii="Arial" w:hAnsi="Arial" w:cs="Arial"/>
          <w:sz w:val="18"/>
          <w:szCs w:val="18"/>
        </w:rPr>
        <w:t xml:space="preserve">[2] R. Waser, R. Dittmann, G. Staikov, K. Szot, Redox-Based Resistive Switching Memories – </w:t>
      </w:r>
      <w:r>
        <w:rPr>
          <w:rFonts w:ascii="Arial" w:hAnsi="Arial" w:cs="Arial"/>
          <w:sz w:val="18"/>
          <w:szCs w:val="18"/>
        </w:rPr>
        <w:t>Nanoionic Mechanisms, Prospects, and Challenges. Advanced Materials 21, 2632–2663 (2009).</w:t>
      </w:r>
    </w:p>
    <w:p w14:paraId="4DC75768" w14:textId="77777777" w:rsidR="00395E98" w:rsidRDefault="00395E98">
      <w:pPr>
        <w:spacing w:after="60"/>
        <w:ind w:hanging="480"/>
        <w:divId w:val="208340846"/>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73711123" w14:textId="77777777" w:rsidR="00395E98" w:rsidRDefault="00395E98">
      <w:pPr>
        <w:spacing w:after="60"/>
        <w:ind w:hanging="480"/>
        <w:divId w:val="208340846"/>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53AB5C2E" w14:textId="77777777" w:rsidR="00395E98" w:rsidRDefault="00395E98">
      <w:pPr>
        <w:spacing w:after="60"/>
        <w:ind w:hanging="480"/>
        <w:divId w:val="208340846"/>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FFC4346" w14:textId="77777777" w:rsidR="00395E98" w:rsidRDefault="00395E98">
      <w:pPr>
        <w:spacing w:after="60"/>
        <w:ind w:hanging="480"/>
        <w:divId w:val="208340846"/>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3BADCA38" w14:textId="77777777" w:rsidR="00395E98" w:rsidRDefault="00395E98">
      <w:pPr>
        <w:spacing w:after="60"/>
        <w:ind w:hanging="480"/>
        <w:divId w:val="208340846"/>
        <w:rPr>
          <w:rFonts w:ascii="Arial" w:hAnsi="Arial" w:cs="Arial"/>
          <w:sz w:val="18"/>
          <w:szCs w:val="18"/>
        </w:rPr>
      </w:pPr>
      <w:r>
        <w:rPr>
          <w:rFonts w:ascii="Arial" w:hAnsi="Arial" w:cs="Arial"/>
          <w:sz w:val="18"/>
          <w:szCs w:val="18"/>
        </w:rPr>
        <w:t>[7] A. M. Deml, V. Stevanović, C. L. Muhich, C. B. Musgrave, R. O’</w:t>
      </w:r>
      <w:r>
        <w:rPr>
          <w:rFonts w:ascii="Arial" w:hAnsi="Arial" w:cs="Arial"/>
          <w:sz w:val="18"/>
          <w:szCs w:val="18"/>
        </w:rPr>
        <w:t>Hayre, Oxide enthalpy of formation and band gap energy as accurate descriptors of oxygen vacancy formation energetics. Energy &amp; Environmental Science 7, 1996–2004 (2014).</w:t>
      </w:r>
    </w:p>
    <w:p w14:paraId="15338E81" w14:textId="77777777" w:rsidR="00395E98" w:rsidRDefault="00395E98">
      <w:pPr>
        <w:spacing w:after="60"/>
        <w:ind w:hanging="480"/>
        <w:divId w:val="208340846"/>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75EE9B44" w14:textId="77777777" w:rsidR="00395E98" w:rsidRDefault="00395E98">
      <w:pPr>
        <w:spacing w:after="60"/>
        <w:ind w:hanging="480"/>
        <w:divId w:val="208340846"/>
        <w:rPr>
          <w:rFonts w:ascii="Arial" w:hAnsi="Arial" w:cs="Arial"/>
          <w:sz w:val="18"/>
          <w:szCs w:val="18"/>
        </w:rPr>
      </w:pPr>
      <w:r>
        <w:rPr>
          <w:rFonts w:ascii="Arial" w:hAnsi="Arial" w:cs="Arial"/>
          <w:sz w:val="18"/>
          <w:szCs w:val="18"/>
        </w:rPr>
        <w:t>[9] A. Rothschild, W. Menesklou, H. L. Tuller, E. Ivers-Tiffée, Electronic Structure, Defect Chemistry, and Transport Properties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3-y</w:t>
      </w:r>
      <w:r>
        <w:rPr>
          <w:rFonts w:ascii="Arial" w:hAnsi="Arial" w:cs="Arial"/>
          <w:sz w:val="18"/>
          <w:szCs w:val="18"/>
        </w:rPr>
        <w:t xml:space="preserve"> </w:t>
      </w:r>
      <w:r>
        <w:rPr>
          <w:rFonts w:ascii="Arial" w:hAnsi="Arial" w:cs="Arial"/>
          <w:sz w:val="18"/>
          <w:szCs w:val="18"/>
        </w:rPr>
        <w:t>Solid Solutions. Chemistry of Materials 18, 3651–3659 (2006).</w:t>
      </w:r>
    </w:p>
    <w:p w14:paraId="5DC76694" w14:textId="77777777" w:rsidR="00395E98" w:rsidRDefault="00395E98">
      <w:pPr>
        <w:spacing w:after="60"/>
        <w:ind w:hanging="480"/>
        <w:divId w:val="208340846"/>
        <w:rPr>
          <w:rFonts w:ascii="Arial" w:hAnsi="Arial" w:cs="Arial"/>
          <w:sz w:val="18"/>
          <w:szCs w:val="18"/>
        </w:rPr>
      </w:pPr>
      <w:r>
        <w:rPr>
          <w:rFonts w:ascii="Arial" w:hAnsi="Arial" w:cs="Arial"/>
          <w:sz w:val="18"/>
          <w:szCs w:val="18"/>
        </w:rPr>
        <w:t>[10] M. Vračar, A. Kuzmin, R. Merkle, J. Purans, E. A. Kotomin, J. Maier, O. Mathon, Jahn-Teller distortion around Fe</w:t>
      </w:r>
      <w:r>
        <w:rPr>
          <w:rFonts w:ascii="Arial" w:hAnsi="Arial" w:cs="Arial"/>
          <w:sz w:val="18"/>
          <w:szCs w:val="18"/>
          <w:vertAlign w:val="superscript"/>
        </w:rPr>
        <w:t>4+</w:t>
      </w:r>
      <w:r>
        <w:rPr>
          <w:rFonts w:ascii="Arial" w:hAnsi="Arial" w:cs="Arial"/>
          <w:sz w:val="18"/>
          <w:szCs w:val="18"/>
        </w:rPr>
        <w:t xml:space="preserve"> in Sr(Fe</w:t>
      </w:r>
      <w:r>
        <w:rPr>
          <w:rFonts w:ascii="Arial" w:hAnsi="Arial" w:cs="Arial"/>
          <w:sz w:val="18"/>
          <w:szCs w:val="18"/>
          <w:vertAlign w:val="subscript"/>
        </w:rPr>
        <w:t>x</w:t>
      </w:r>
      <w:r>
        <w:rPr>
          <w:rFonts w:ascii="Arial" w:hAnsi="Arial" w:cs="Arial"/>
          <w:sz w:val="18"/>
          <w:szCs w:val="18"/>
        </w:rPr>
        <w:t>Ti</w:t>
      </w:r>
      <w:r>
        <w:rPr>
          <w:rFonts w:ascii="Arial" w:hAnsi="Arial" w:cs="Arial"/>
          <w:sz w:val="18"/>
          <w:szCs w:val="18"/>
          <w:vertAlign w:val="subscript"/>
        </w:rPr>
        <w:t>1-x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from x-ray absorption spectroscopy, x-ray diffraction, and vibrational spectroscopy. Physical Review B 76, 174107 (2007).</w:t>
      </w:r>
    </w:p>
    <w:p w14:paraId="45B724BD" w14:textId="77777777" w:rsidR="00395E98" w:rsidRDefault="00395E98">
      <w:pPr>
        <w:spacing w:after="60"/>
        <w:ind w:hanging="480"/>
        <w:divId w:val="208340846"/>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1E0952DC" w14:textId="77777777" w:rsidR="00395E98" w:rsidRDefault="00395E98">
      <w:pPr>
        <w:spacing w:after="60"/>
        <w:ind w:hanging="480"/>
        <w:divId w:val="208340846"/>
        <w:rPr>
          <w:rFonts w:ascii="Arial" w:hAnsi="Arial" w:cs="Arial"/>
          <w:sz w:val="18"/>
          <w:szCs w:val="18"/>
        </w:rPr>
      </w:pPr>
      <w:r>
        <w:rPr>
          <w:rFonts w:ascii="Arial" w:hAnsi="Arial" w:cs="Arial"/>
          <w:sz w:val="18"/>
          <w:szCs w:val="18"/>
        </w:rPr>
        <w:t>[12] F. Frati, M. O. J. Y. Hunault, F. M. F. de Groot, Oxygen K-edge X-ray Absorption Spectra. Chemical Reviews 120, 4056–4110 (2020).</w:t>
      </w:r>
    </w:p>
    <w:p w14:paraId="66BC807C" w14:textId="77777777" w:rsidR="00395E98" w:rsidRDefault="00395E98">
      <w:pPr>
        <w:spacing w:after="60"/>
        <w:ind w:hanging="480"/>
        <w:divId w:val="208340846"/>
        <w:rPr>
          <w:rFonts w:ascii="Arial" w:hAnsi="Arial" w:cs="Arial"/>
          <w:sz w:val="18"/>
          <w:szCs w:val="18"/>
        </w:rPr>
      </w:pPr>
      <w:r>
        <w:rPr>
          <w:rFonts w:ascii="Arial" w:hAnsi="Arial" w:cs="Arial"/>
          <w:sz w:val="18"/>
          <w:szCs w:val="18"/>
        </w:rPr>
        <w:t>[13]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Thin-Film Memristive Devices. Advanced Materials 22, 4819–4822 (2010).</w:t>
      </w:r>
    </w:p>
    <w:p w14:paraId="689A08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[14] A. Sarantopoulos, R. Waser, R. Dittmann, Eightwise Switching Mechanism in Memristive SrTiO</w:t>
      </w:r>
      <w:r>
        <w:rPr>
          <w:rFonts w:ascii="Arial" w:hAnsi="Arial" w:cs="Arial"/>
          <w:sz w:val="18"/>
          <w:szCs w:val="18"/>
          <w:vertAlign w:val="subscript"/>
        </w:rPr>
        <w:t>3</w:t>
      </w:r>
      <w:r>
        <w:rPr>
          <w:rFonts w:ascii="Arial" w:hAnsi="Arial" w:cs="Arial"/>
          <w:sz w:val="18"/>
          <w:szCs w:val="18"/>
        </w:rPr>
        <w:t xml:space="preserve"> Devices and Its Implications on the Device Performance. Physica Status Solidi A 221, 2300483 (2024).</w:t>
      </w:r>
    </w:p>
    <w:p w14:paraId="78483FC6" w14:textId="77777777" w:rsidR="00395E98" w:rsidRDefault="00395E98">
      <w:pPr>
        <w:spacing w:after="60"/>
        <w:ind w:hanging="480"/>
        <w:divId w:val="208340846"/>
        <w:rPr>
          <w:rFonts w:ascii="Arial" w:hAnsi="Arial" w:cs="Arial"/>
          <w:sz w:val="18"/>
          <w:szCs w:val="18"/>
        </w:rPr>
      </w:pPr>
      <w:r>
        <w:rPr>
          <w:rFonts w:ascii="Arial" w:hAnsi="Arial" w:cs="Arial"/>
          <w:sz w:val="18"/>
          <w:szCs w:val="18"/>
        </w:rPr>
        <w:t>[15] M. Janousch, G. I. Meijer, U. Staub, B. Delley, S. F. Karg, B. P. Andreasson, Role of Oxygen Vacancies in Cr-Doped SrTiO</w:t>
      </w:r>
      <w:r>
        <w:rPr>
          <w:rFonts w:ascii="Arial" w:hAnsi="Arial" w:cs="Arial"/>
          <w:sz w:val="18"/>
          <w:szCs w:val="18"/>
          <w:vertAlign w:val="subscript"/>
        </w:rPr>
        <w:t>3</w:t>
      </w:r>
      <w:r>
        <w:rPr>
          <w:rFonts w:ascii="Arial" w:hAnsi="Arial" w:cs="Arial"/>
          <w:sz w:val="18"/>
          <w:szCs w:val="18"/>
        </w:rPr>
        <w:t xml:space="preserve"> for Resistance-Change Memory. Advanced Materials 19, 2232–2235 (2007).</w:t>
      </w:r>
    </w:p>
    <w:p w14:paraId="06C3949B" w14:textId="77777777" w:rsidR="00395E98" w:rsidRDefault="00395E98">
      <w:pPr>
        <w:spacing w:after="60"/>
        <w:ind w:hanging="480"/>
        <w:divId w:val="208340846"/>
        <w:rPr>
          <w:rFonts w:ascii="Arial" w:hAnsi="Arial" w:cs="Arial"/>
          <w:sz w:val="18"/>
          <w:szCs w:val="18"/>
        </w:rPr>
      </w:pPr>
      <w:r>
        <w:rPr>
          <w:rFonts w:ascii="Arial" w:hAnsi="Arial" w:cs="Arial"/>
          <w:sz w:val="18"/>
          <w:szCs w:val="18"/>
        </w:rPr>
        <w:t>[16] C. Baeumer et al., Spectromicroscopic insights for rational design of redox-based memristive devices. Nature Communications 6, 8610 (2015).</w:t>
      </w:r>
    </w:p>
    <w:p w14:paraId="1828B3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[17] C. Baeumer et al., Quantifying redox-induced Schottky barrier variations in memristive devices via in operando spectromicroscopy with graphene electrodes. Nature Communications 7, 12398 (2016).</w:t>
      </w:r>
    </w:p>
    <w:p w14:paraId="6C7E3A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[18] C. Baeumer et al., Subfilamentary Networks Cause Cycle-to-Cycle Variability in Memristive Devices. ACS Nano 11, 6921–6929 (2017).</w:t>
      </w:r>
    </w:p>
    <w:p w14:paraId="419A7611" w14:textId="77777777" w:rsidR="00395E98" w:rsidRDefault="00395E98">
      <w:pPr>
        <w:spacing w:after="60"/>
        <w:ind w:hanging="480"/>
        <w:divId w:val="208340846"/>
        <w:rPr>
          <w:rFonts w:ascii="Arial" w:hAnsi="Arial" w:cs="Arial"/>
          <w:sz w:val="18"/>
          <w:szCs w:val="18"/>
        </w:rPr>
      </w:pPr>
      <w:r>
        <w:rPr>
          <w:rFonts w:ascii="Arial" w:hAnsi="Arial" w:cs="Arial"/>
          <w:sz w:val="18"/>
          <w:szCs w:val="18"/>
        </w:rPr>
        <w:t>[19] T. Heisig, C. Baeumer, U. N. Gries et al., Oxygen Exchange Processes between Oxide Memristive Devices and Water Molecules. Advanced Materials 30, 1800957 (2018).</w:t>
      </w:r>
    </w:p>
    <w:p w14:paraId="5DB04177" w14:textId="77777777" w:rsidR="00395E98" w:rsidRDefault="00395E98">
      <w:pPr>
        <w:spacing w:after="60"/>
        <w:ind w:hanging="480"/>
        <w:divId w:val="208340846"/>
        <w:rPr>
          <w:rFonts w:ascii="Arial" w:hAnsi="Arial" w:cs="Arial"/>
          <w:sz w:val="18"/>
          <w:szCs w:val="18"/>
        </w:rPr>
      </w:pPr>
      <w:r>
        <w:rPr>
          <w:rFonts w:ascii="Arial" w:hAnsi="Arial" w:cs="Arial"/>
          <w:sz w:val="18"/>
          <w:szCs w:val="18"/>
        </w:rPr>
        <w:t>[20] E. Sediva, W. J. Bowman, J. C. Gonzalez-Rosillo, J. L. M. Rupp, Investigation of the Eightwise Switching Mechanism and Its Suppression in SrTiO</w:t>
      </w:r>
      <w:r>
        <w:rPr>
          <w:rFonts w:ascii="Arial" w:hAnsi="Arial" w:cs="Arial"/>
          <w:sz w:val="18"/>
          <w:szCs w:val="18"/>
          <w:vertAlign w:val="subscript"/>
        </w:rPr>
        <w:t>3</w:t>
      </w:r>
      <w:r>
        <w:rPr>
          <w:rFonts w:ascii="Arial" w:hAnsi="Arial" w:cs="Arial"/>
          <w:sz w:val="18"/>
          <w:szCs w:val="18"/>
        </w:rPr>
        <w:t xml:space="preserve"> Modulated by Humidity and Interchanged Top and Bottom Platinum and LaNiO</w:t>
      </w:r>
      <w:r>
        <w:rPr>
          <w:rFonts w:ascii="Arial" w:hAnsi="Arial" w:cs="Arial"/>
          <w:sz w:val="18"/>
          <w:szCs w:val="18"/>
          <w:vertAlign w:val="subscript"/>
        </w:rPr>
        <w:t>3</w:t>
      </w:r>
      <w:r>
        <w:rPr>
          <w:rFonts w:ascii="Arial" w:hAnsi="Arial" w:cs="Arial"/>
          <w:sz w:val="18"/>
          <w:szCs w:val="18"/>
        </w:rPr>
        <w:t xml:space="preserve"> Electrode Contacts. Advanced Electronic Materials 5, 1800566 (2019).</w:t>
      </w:r>
    </w:p>
    <w:p w14:paraId="4DCC6386" w14:textId="77777777" w:rsidR="00395E98" w:rsidRDefault="00395E98">
      <w:pPr>
        <w:spacing w:after="60"/>
        <w:ind w:hanging="480"/>
        <w:divId w:val="208340846"/>
        <w:rPr>
          <w:rFonts w:ascii="Arial" w:hAnsi="Arial" w:cs="Arial"/>
          <w:sz w:val="18"/>
          <w:szCs w:val="18"/>
        </w:rPr>
      </w:pPr>
      <w:r>
        <w:rPr>
          <w:rFonts w:ascii="Arial" w:hAnsi="Arial" w:cs="Arial"/>
          <w:sz w:val="18"/>
          <w:szCs w:val="18"/>
        </w:rPr>
        <w:t>[21] E. Mikheev, B. D. Hoskins, D. B. Strukov, S. Stemmer, Resistive switching and its suppression in Pt/Nb:SrTiO</w:t>
      </w:r>
      <w:r>
        <w:rPr>
          <w:rFonts w:ascii="Arial" w:hAnsi="Arial" w:cs="Arial"/>
          <w:sz w:val="18"/>
          <w:szCs w:val="18"/>
          <w:vertAlign w:val="subscript"/>
        </w:rPr>
        <w:t>3</w:t>
      </w:r>
      <w:r>
        <w:rPr>
          <w:rFonts w:ascii="Arial" w:hAnsi="Arial" w:cs="Arial"/>
          <w:sz w:val="18"/>
          <w:szCs w:val="18"/>
        </w:rPr>
        <w:t xml:space="preserve"> junctions. Nature Communications 5, 3990 (2014).</w:t>
      </w:r>
    </w:p>
    <w:p w14:paraId="3512D7BC" w14:textId="77777777" w:rsidR="00395E98" w:rsidRDefault="00395E98">
      <w:pPr>
        <w:spacing w:after="60"/>
        <w:ind w:hanging="480"/>
        <w:divId w:val="208340846"/>
        <w:rPr>
          <w:rFonts w:ascii="Arial" w:hAnsi="Arial" w:cs="Arial"/>
          <w:sz w:val="18"/>
          <w:szCs w:val="18"/>
        </w:rPr>
      </w:pPr>
      <w:r>
        <w:rPr>
          <w:rFonts w:ascii="Arial" w:hAnsi="Arial" w:cs="Arial"/>
          <w:sz w:val="18"/>
          <w:szCs w:val="18"/>
        </w:rPr>
        <w:t>[22] K.-H. Son, H.-S. Lee, Grain boundary effect on the resistive switching characteristics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w:t>
      </w:r>
      <w:r>
        <w:rPr>
          <w:rFonts w:ascii="Arial" w:hAnsi="Arial" w:cs="Arial"/>
          <w:sz w:val="18"/>
          <w:szCs w:val="18"/>
        </w:rPr>
        <w:t xml:space="preserve"> directly patterned via photochemical organic-metal deposition. Applied Surface Science 575, 151754 (2022).</w:t>
      </w:r>
    </w:p>
    <w:p w14:paraId="2EEB08C9" w14:textId="77777777" w:rsidR="00395E98" w:rsidRDefault="00395E98">
      <w:pPr>
        <w:spacing w:after="60"/>
        <w:ind w:hanging="480"/>
        <w:divId w:val="208340846"/>
        <w:rPr>
          <w:rFonts w:ascii="Arial" w:hAnsi="Arial" w:cs="Arial"/>
          <w:sz w:val="18"/>
          <w:szCs w:val="18"/>
        </w:rPr>
      </w:pPr>
      <w:r>
        <w:rPr>
          <w:rFonts w:ascii="Arial" w:hAnsi="Arial" w:cs="Arial"/>
          <w:sz w:val="18"/>
          <w:szCs w:val="18"/>
        </w:rPr>
        <w:t>[23]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09BCD76C" w14:textId="77777777" w:rsidR="00395E98" w:rsidRDefault="00395E98">
      <w:pPr>
        <w:spacing w:after="60"/>
        <w:ind w:hanging="480"/>
        <w:divId w:val="208340846"/>
        <w:rPr>
          <w:rFonts w:ascii="Arial" w:hAnsi="Arial" w:cs="Arial"/>
          <w:sz w:val="18"/>
          <w:szCs w:val="18"/>
        </w:rPr>
      </w:pPr>
      <w:r>
        <w:rPr>
          <w:rFonts w:ascii="Arial" w:hAnsi="Arial" w:cs="Arial"/>
          <w:sz w:val="18"/>
          <w:szCs w:val="18"/>
        </w:rPr>
        <w:t>[24]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2CA0F9E4" w14:textId="77777777" w:rsidR="00395E98" w:rsidRDefault="00395E98">
      <w:pPr>
        <w:spacing w:after="60"/>
        <w:ind w:hanging="480"/>
        <w:divId w:val="208340846"/>
        <w:rPr>
          <w:rFonts w:ascii="Arial" w:hAnsi="Arial" w:cs="Arial"/>
          <w:sz w:val="18"/>
          <w:szCs w:val="18"/>
        </w:rPr>
      </w:pPr>
      <w:r>
        <w:rPr>
          <w:rFonts w:ascii="Arial" w:hAnsi="Arial" w:cs="Arial"/>
          <w:sz w:val="18"/>
          <w:szCs w:val="18"/>
        </w:rPr>
        <w:t>[25]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69F6763" w14:textId="77777777" w:rsidR="00395E98" w:rsidRDefault="00395E98">
      <w:pPr>
        <w:spacing w:after="60"/>
        <w:ind w:hanging="480"/>
        <w:divId w:val="208340846"/>
        <w:rPr>
          <w:rFonts w:ascii="Arial" w:hAnsi="Arial" w:cs="Arial"/>
          <w:sz w:val="18"/>
          <w:szCs w:val="18"/>
        </w:rPr>
      </w:pPr>
      <w:r>
        <w:rPr>
          <w:rFonts w:ascii="Arial" w:hAnsi="Arial" w:cs="Arial"/>
          <w:sz w:val="18"/>
          <w:szCs w:val="18"/>
        </w:rPr>
        <w:t>[26] D. N. Mueller, M. L. Machala, H. Bluhm, W. C. Chueh, Redox activity of surface oxygen anions in oxygen-deficient perovskite oxides during electrochemical reactions. Nature Communications 6, 6097 (2015).</w:t>
      </w:r>
    </w:p>
    <w:p w14:paraId="1C4E065A" w14:textId="77777777" w:rsidR="00395E98" w:rsidRDefault="00395E98">
      <w:pPr>
        <w:spacing w:after="60"/>
        <w:ind w:hanging="480"/>
        <w:divId w:val="208340846"/>
        <w:rPr>
          <w:rFonts w:ascii="Arial" w:hAnsi="Arial" w:cs="Arial"/>
          <w:sz w:val="18"/>
          <w:szCs w:val="18"/>
        </w:rPr>
      </w:pPr>
      <w:r>
        <w:rPr>
          <w:rFonts w:ascii="Arial" w:hAnsi="Arial" w:cs="Arial"/>
          <w:sz w:val="18"/>
          <w:szCs w:val="18"/>
        </w:rPr>
        <w:t>[27]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785665D0" w14:textId="77777777" w:rsidR="00395E98" w:rsidRDefault="00395E98">
      <w:pPr>
        <w:spacing w:after="60"/>
        <w:ind w:hanging="480"/>
        <w:divId w:val="208340846"/>
        <w:rPr>
          <w:rFonts w:ascii="Arial" w:hAnsi="Arial" w:cs="Arial"/>
          <w:sz w:val="18"/>
          <w:szCs w:val="18"/>
        </w:rPr>
      </w:pPr>
      <w:r>
        <w:rPr>
          <w:rFonts w:ascii="Arial" w:hAnsi="Arial" w:cs="Arial"/>
          <w:sz w:val="18"/>
          <w:szCs w:val="18"/>
        </w:rPr>
        <w:t>[28] M. Wuttig et al., Revisiting the Nature of Chemical Bonding in Chalcogenides to Explain and Design their Properties. Advanced Materials 35, 2208485 (2023).</w:t>
      </w:r>
    </w:p>
    <w:p w14:paraId="258CC278" w14:textId="77777777" w:rsidR="00395E98" w:rsidRDefault="00395E98">
      <w:pPr>
        <w:spacing w:after="60"/>
        <w:ind w:hanging="480"/>
        <w:divId w:val="208340846"/>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40D2A45" w14:textId="77777777" w:rsidR="00395E98" w:rsidRDefault="00395E98">
      <w:pPr>
        <w:spacing w:after="60"/>
        <w:ind w:hanging="480"/>
        <w:divId w:val="208340846"/>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81B6725" w14:textId="77777777" w:rsidR="00395E98" w:rsidRDefault="00395E98">
      <w:pPr>
        <w:spacing w:after="60"/>
        <w:ind w:hanging="480"/>
        <w:divId w:val="208340846"/>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E50B442" w14:textId="77777777" w:rsidR="00395E98" w:rsidRDefault="00395E98">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6A54612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201C32"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FE68A4D"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300925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20AD7A"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ABE8A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538077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F0DA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EDA93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w:t>
            </w:r>
            <w:r>
              <w:rPr>
                <w:rFonts w:ascii="Arial" w:eastAsia="Times New Roman" w:hAnsi="Arial" w:cs="Arial"/>
                <w:sz w:val="19"/>
                <w:szCs w:val="19"/>
              </w:rPr>
              <w:t>(AvH requirement: independently developed, coordinated with the host)</w:t>
            </w:r>
          </w:p>
        </w:tc>
      </w:tr>
      <w:tr w:rsidR="00000000" w14:paraId="7E53D9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8558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98507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60303B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2704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2B2B7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D4E54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65408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6888A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080431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057A5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Host’</w:t>
            </w:r>
            <w:r>
              <w:rPr>
                <w:rFonts w:ascii="Arial" w:eastAsia="Times New Roman" w:hAnsi="Arial" w:cs="Arial"/>
                <w:sz w:val="19"/>
                <w:szCs w:val="19"/>
              </w:rPr>
              <w: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346B4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65DA85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E50F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87CD4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B42D9AE" w14:textId="77777777" w:rsidR="00395E98" w:rsidRDefault="00395E98">
      <w:pPr>
        <w:pStyle w:val="Heading2"/>
        <w:rPr>
          <w:rFonts w:ascii="Arial" w:eastAsia="Times New Roman" w:hAnsi="Arial" w:cs="Arial"/>
        </w:rPr>
      </w:pPr>
      <w:r>
        <w:rPr>
          <w:rFonts w:ascii="Arial" w:eastAsia="Times New Roman" w:hAnsi="Arial" w:cs="Arial"/>
        </w:rPr>
        <w:t>Fellowship benefits (for orientation, as of 2026)</w:t>
      </w:r>
    </w:p>
    <w:p w14:paraId="1EA59F10" w14:textId="77777777" w:rsidR="00395E98" w:rsidRDefault="00395E98">
      <w:pPr>
        <w:pStyle w:val="NormalWeb"/>
        <w:rPr>
          <w:rFonts w:ascii="Arial" w:hAnsi="Arial" w:cs="Arial"/>
          <w:sz w:val="21"/>
          <w:szCs w:val="21"/>
        </w:rPr>
      </w:pPr>
      <w:r>
        <w:rPr>
          <w:rFonts w:ascii="Arial" w:hAnsi="Arial" w:cs="Arial"/>
          <w:sz w:val="21"/>
          <w:szCs w:val="21"/>
        </w:rPr>
        <w:t>Base fellowship € </w:t>
      </w:r>
      <w:r>
        <w:rPr>
          <w:rFonts w:ascii="Arial" w:hAnsi="Arial" w:cs="Arial"/>
          <w:sz w:val="21"/>
          <w:szCs w:val="21"/>
        </w:rPr>
        <w:t>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395E9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57138"/>
    <w:rsid w:val="00395E98"/>
    <w:rsid w:val="00A57138"/>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7214FE"/>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340846">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2937</Words>
  <Characters>16746</Characters>
  <Application>Microsoft Office Word</Application>
  <DocSecurity>4</DocSecurity>
  <Lines>139</Lines>
  <Paragraphs>39</Paragraphs>
  <ScaleCrop>false</ScaleCrop>
  <Company/>
  <LinksUpToDate>false</LinksUpToDate>
  <CharactersWithSpaces>19644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