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F033C" w14:textId="77777777" w:rsidR="0023423F" w:rsidRDefault="0023423F">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07ABE87F" w14:textId="77777777" w:rsidR="0023423F" w:rsidRDefault="0023423F">
      <w:pPr>
        <w:pStyle w:val="NormalWeb"/>
        <w:rPr>
          <w:rFonts w:ascii="Arial" w:hAnsi="Arial" w:cs="Arial"/>
          <w:sz w:val="21"/>
          <w:szCs w:val="21"/>
        </w:rPr>
      </w:pPr>
      <w:r>
        <w:rPr>
          <w:rFonts w:ascii="Arial" w:hAnsi="Arial" w:cs="Arial"/>
          <w:sz w:val="21"/>
          <w:szCs w:val="21"/>
        </w:rPr>
        <w:t> </w:t>
      </w:r>
    </w:p>
    <w:p w14:paraId="6902FF7D" w14:textId="77777777" w:rsidR="0023423F" w:rsidRDefault="0023423F">
      <w:pPr>
        <w:pStyle w:val="NormalWeb"/>
        <w:rPr>
          <w:rFonts w:ascii="Arial" w:hAnsi="Arial" w:cs="Arial"/>
          <w:sz w:val="21"/>
          <w:szCs w:val="21"/>
        </w:rPr>
      </w:pPr>
      <w:r>
        <w:rPr>
          <w:rFonts w:ascii="Arial" w:hAnsi="Arial" w:cs="Arial"/>
          <w:sz w:val="21"/>
          <w:szCs w:val="21"/>
        </w:rPr>
        <w:t> </w:t>
      </w:r>
    </w:p>
    <w:p w14:paraId="331056D2" w14:textId="77777777" w:rsidR="0023423F" w:rsidRDefault="0023423F">
      <w:pPr>
        <w:pStyle w:val="NormalWeb"/>
        <w:rPr>
          <w:rFonts w:ascii="Arial" w:hAnsi="Arial" w:cs="Arial"/>
          <w:sz w:val="21"/>
          <w:szCs w:val="21"/>
        </w:rPr>
      </w:pPr>
      <w:r>
        <w:rPr>
          <w:rFonts w:ascii="Arial" w:hAnsi="Arial" w:cs="Arial"/>
          <w:sz w:val="21"/>
          <w:szCs w:val="21"/>
        </w:rPr>
        <w:t> </w:t>
      </w:r>
    </w:p>
    <w:p w14:paraId="14DF8C29" w14:textId="77777777" w:rsidR="0023423F" w:rsidRDefault="0023423F">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F10BA83" w14:textId="77777777" w:rsidR="0023423F" w:rsidRDefault="0023423F">
      <w:pPr>
        <w:pStyle w:val="NormalWeb"/>
        <w:rPr>
          <w:rFonts w:ascii="Arial" w:hAnsi="Arial" w:cs="Arial"/>
          <w:sz w:val="21"/>
          <w:szCs w:val="21"/>
        </w:rPr>
      </w:pPr>
      <w:r>
        <w:rPr>
          <w:rFonts w:ascii="Arial" w:hAnsi="Arial" w:cs="Arial"/>
          <w:sz w:val="21"/>
          <w:szCs w:val="21"/>
        </w:rPr>
        <w:t> </w:t>
      </w:r>
    </w:p>
    <w:p w14:paraId="1FD02795" w14:textId="77777777" w:rsidR="0023423F" w:rsidRDefault="0023423F">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0F8B3980" w14:textId="77777777" w:rsidR="0023423F" w:rsidRDefault="0023423F">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B29AA15" w14:textId="77777777" w:rsidR="0023423F" w:rsidRDefault="0023423F">
      <w:pPr>
        <w:pStyle w:val="NormalWeb"/>
        <w:rPr>
          <w:rFonts w:ascii="Arial" w:hAnsi="Arial" w:cs="Arial"/>
          <w:sz w:val="21"/>
          <w:szCs w:val="21"/>
        </w:rPr>
      </w:pPr>
      <w:r>
        <w:rPr>
          <w:rFonts w:ascii="Arial" w:hAnsi="Arial" w:cs="Arial"/>
          <w:sz w:val="21"/>
          <w:szCs w:val="21"/>
        </w:rPr>
        <w:t> </w:t>
      </w:r>
    </w:p>
    <w:p w14:paraId="386EC584" w14:textId="77777777" w:rsidR="0023423F" w:rsidRDefault="0023423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2DC417C9"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9C235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0542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w:t>
            </w:r>
            <w:r>
              <w:rPr>
                <w:rFonts w:ascii="Arial" w:eastAsia="Times New Roman" w:hAnsi="Arial" w:cs="Arial"/>
                <w:sz w:val="19"/>
                <w:szCs w:val="19"/>
              </w:rPr>
              <w:t>nberg Institute (PGI-7), Forschungszentrum Jülich</w:t>
            </w:r>
          </w:p>
        </w:tc>
      </w:tr>
      <w:tr w:rsidR="00000000" w14:paraId="0DF438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D147C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BC256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F413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1D4E40"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FD6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261A3C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ABDF9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E059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580A2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98FD4B"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3A0FE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4D08BD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E22314"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886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635B56A1" w14:textId="77777777" w:rsidR="0023423F" w:rsidRDefault="0023423F">
      <w:pPr>
        <w:pStyle w:val="NormalWeb"/>
        <w:rPr>
          <w:rFonts w:ascii="Arial" w:hAnsi="Arial" w:cs="Arial"/>
          <w:sz w:val="21"/>
          <w:szCs w:val="21"/>
        </w:rPr>
      </w:pPr>
      <w:r>
        <w:rPr>
          <w:rFonts w:ascii="Arial" w:hAnsi="Arial" w:cs="Arial"/>
          <w:sz w:val="21"/>
          <w:szCs w:val="21"/>
        </w:rPr>
        <w:t> </w:t>
      </w:r>
    </w:p>
    <w:p w14:paraId="42174AFC" w14:textId="77777777" w:rsidR="0023423F" w:rsidRDefault="0023423F">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w:t>
      </w:r>
      <w:r>
        <w:rPr>
          <w:rFonts w:ascii="Arial" w:hAnsi="Arial" w:cs="Arial"/>
        </w:rPr>
        <w:t>s publications, starting date) must be finalised before submission. Formal eligibility: application normally within four years of the doctorate (doctorate 2026 – window until 2030).</w:t>
      </w:r>
    </w:p>
    <w:p w14:paraId="12A47FFD" w14:textId="77777777" w:rsidR="0023423F" w:rsidRDefault="0023423F">
      <w:pPr>
        <w:pStyle w:val="Heading1"/>
        <w:pageBreakBefore/>
        <w:rPr>
          <w:rFonts w:ascii="Arial" w:eastAsia="Times New Roman" w:hAnsi="Arial" w:cs="Arial"/>
        </w:rPr>
      </w:pPr>
      <w:r>
        <w:rPr>
          <w:rFonts w:ascii="Arial" w:eastAsia="Times New Roman" w:hAnsi="Arial" w:cs="Arial"/>
        </w:rPr>
        <w:lastRenderedPageBreak/>
        <w:t>Summary</w:t>
      </w:r>
    </w:p>
    <w:p w14:paraId="4BCEC99A" w14:textId="77777777" w:rsidR="0023423F" w:rsidRDefault="0023423F">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w:t>
      </w:r>
      <w:r>
        <w:rPr>
          <w:rFonts w:ascii="Arial" w:hAnsi="Arial" w:cs="Arial"/>
          <w:sz w:val="21"/>
          <w:szCs w:val="21"/>
        </w:rPr>
        <w:t>and has served there as a successful materials descriptor for more than a decade.</w:t>
      </w:r>
    </w:p>
    <w:p w14:paraId="5718F7BB" w14:textId="77777777" w:rsidR="0023423F" w:rsidRDefault="0023423F">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w:t>
      </w:r>
      <w:r>
        <w:rPr>
          <w:rFonts w:ascii="Arial" w:hAnsi="Arial" w:cs="Arial"/>
          <w:sz w:val="21"/>
          <w:szCs w:val="21"/>
        </w:rPr>
        <w:t>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w:t>
      </w:r>
      <w:r>
        <w:rPr>
          <w:rFonts w:ascii="Arial" w:hAnsi="Arial" w:cs="Arial"/>
          <w:sz w:val="21"/>
          <w:szCs w:val="21"/>
        </w:rPr>
        <w:t>edges), and the switching properties (ON/OFF ratio, switching voltages, kinetics, retention, endurance) are measured on a constant device platform.</w:t>
      </w:r>
    </w:p>
    <w:p w14:paraId="73E49227" w14:textId="77777777" w:rsidR="0023423F" w:rsidRDefault="0023423F">
      <w:pPr>
        <w:pStyle w:val="NormalWeb"/>
        <w:rPr>
          <w:rFonts w:ascii="Arial" w:hAnsi="Arial" w:cs="Arial"/>
          <w:sz w:val="21"/>
          <w:szCs w:val="21"/>
        </w:rPr>
      </w:pPr>
      <w:r>
        <w:rPr>
          <w:rFonts w:ascii="Arial" w:hAnsi="Arial" w:cs="Arial"/>
          <w:sz w:val="21"/>
          <w:szCs w:val="21"/>
        </w:rPr>
        <w:t xml:space="preserve">The overarching goal is a “treasure map” </w:t>
      </w:r>
      <w:r>
        <w:rPr>
          <w:rFonts w:ascii="Arial" w:hAnsi="Arial" w:cs="Arial"/>
          <w:sz w:val="21"/>
          <w:szCs w:val="21"/>
        </w:rPr>
        <w:t xml:space="preserve">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w:t>
      </w:r>
      <w:r>
        <w:rPr>
          <w:rFonts w:ascii="Arial" w:hAnsi="Arial" w:cs="Arial"/>
          <w:sz w:val="21"/>
          <w:szCs w:val="21"/>
        </w:rPr>
        <w:t>prediction on an oxide not contained in the training set.</w:t>
      </w:r>
    </w:p>
    <w:p w14:paraId="22C7DE7A" w14:textId="77777777" w:rsidR="0023423F" w:rsidRDefault="0023423F">
      <w:pPr>
        <w:pStyle w:val="Heading1"/>
        <w:pageBreakBefore/>
        <w:rPr>
          <w:rFonts w:ascii="Arial" w:eastAsia="Times New Roman" w:hAnsi="Arial" w:cs="Arial"/>
        </w:rPr>
      </w:pPr>
      <w:r>
        <w:rPr>
          <w:rFonts w:ascii="Arial" w:eastAsia="Times New Roman" w:hAnsi="Arial" w:cs="Arial"/>
        </w:rPr>
        <w:t>1  State of the Art and Preliminary Work</w:t>
      </w:r>
    </w:p>
    <w:p w14:paraId="68AEAEFB" w14:textId="77777777" w:rsidR="0023423F" w:rsidRDefault="0023423F">
      <w:pPr>
        <w:pStyle w:val="Heading2"/>
        <w:rPr>
          <w:rFonts w:ascii="Arial" w:eastAsia="Times New Roman" w:hAnsi="Arial" w:cs="Arial"/>
        </w:rPr>
      </w:pPr>
      <w:r>
        <w:rPr>
          <w:rFonts w:ascii="Arial" w:eastAsia="Times New Roman" w:hAnsi="Arial" w:cs="Arial"/>
        </w:rPr>
        <w:t>1.1  State of the art</w:t>
      </w:r>
    </w:p>
    <w:p w14:paraId="107BCA06" w14:textId="77777777" w:rsidR="0023423F" w:rsidRDefault="0023423F">
      <w:pPr>
        <w:pStyle w:val="Heading3"/>
        <w:rPr>
          <w:rFonts w:ascii="Arial" w:eastAsia="Times New Roman" w:hAnsi="Arial" w:cs="Arial"/>
        </w:rPr>
      </w:pPr>
      <w:r>
        <w:rPr>
          <w:rFonts w:ascii="Arial" w:eastAsia="Times New Roman" w:hAnsi="Arial" w:cs="Arial"/>
        </w:rPr>
        <w:t>1.1.1  Memristive switching in oxides: the valence change mechanism</w:t>
      </w:r>
    </w:p>
    <w:p w14:paraId="7801FECD" w14:textId="77777777" w:rsidR="0023423F" w:rsidRDefault="0023423F">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w:t>
      </w:r>
      <w:r>
        <w:rPr>
          <w:rFonts w:ascii="Arial" w:hAnsi="Arial" w:cs="Arial"/>
          <w:sz w:val="21"/>
          <w:szCs w:val="21"/>
        </w:rPr>
        <w:t>→</w:t>
      </w:r>
      <w:r>
        <w:rPr>
          <w:rFonts w:ascii="Arial" w:hAnsi="Arial" w:cs="Arial"/>
          <w:sz w:val="21"/>
          <w:szCs w:val="21"/>
        </w:rPr>
        <w:t xml:space="preserve">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w:t>
      </w:r>
      <w:r>
        <w:rPr>
          <w:rFonts w:ascii="Arial" w:hAnsi="Arial" w:cs="Arial"/>
          <w:sz w:val="21"/>
          <w:szCs w:val="21"/>
        </w:rPr>
        <w:t>“interface-type”)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7F98E845" w14:textId="77777777" w:rsidR="0023423F" w:rsidRDefault="0023423F">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by only a factor of 2–</w:t>
      </w:r>
      <w:r>
        <w:rPr>
          <w:rFonts w:ascii="Arial" w:hAnsi="Arial" w:cs="Arial"/>
          <w:sz w:val="21"/>
          <w:szCs w:val="21"/>
        </w:rPr>
        <w:t xml:space="preserve">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w:t>
      </w:r>
      <w:r>
        <w:rPr>
          <w:rFonts w:ascii="Arial" w:hAnsi="Arial" w:cs="Arial"/>
          <w:sz w:val="21"/>
          <w:szCs w:val="21"/>
        </w:rPr>
        <w:t>they are the central energetic control parameters of the VCM.</w:t>
      </w:r>
    </w:p>
    <w:p w14:paraId="28138B31" w14:textId="77777777" w:rsidR="0023423F" w:rsidRDefault="0023423F">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w:t>
      </w:r>
      <w:r>
        <w:rPr>
          <w:rFonts w:ascii="Arial" w:hAnsi="Arial" w:cs="Arial"/>
          <w:sz w:val="21"/>
          <w:szCs w:val="21"/>
        </w:rPr>
        <w:t>↔</w:t>
      </w:r>
      <w:r>
        <w:rPr>
          <w:rFonts w:ascii="Arial" w:hAnsi="Arial" w:cs="Arial"/>
          <w:sz w:val="21"/>
          <w:szCs w:val="21"/>
        </w:rPr>
        <w:t> brownmillerite transitions (SrFeO</w:t>
      </w:r>
      <w:r>
        <w:rPr>
          <w:rFonts w:ascii="Arial" w:hAnsi="Arial" w:cs="Arial"/>
          <w:sz w:val="21"/>
          <w:szCs w:val="21"/>
          <w:vertAlign w:val="subscript"/>
        </w:rPr>
        <w:t>3-δ</w:t>
      </w:r>
      <w:r>
        <w:rPr>
          <w:rFonts w:ascii="Arial" w:hAnsi="Arial" w:cs="Arial"/>
          <w:sz w:val="21"/>
          <w:szCs w:val="21"/>
        </w:rPr>
        <w:t> </w:t>
      </w:r>
      <w:r>
        <w:rPr>
          <w:rFonts w:ascii="Arial" w:hAnsi="Arial" w:cs="Arial"/>
          <w:sz w:val="21"/>
          <w:szCs w:val="21"/>
        </w:rPr>
        <w:t>↔</w:t>
      </w:r>
      <w:r>
        <w:rPr>
          <w:rFonts w:ascii="Arial" w:hAnsi="Arial" w:cs="Arial"/>
          <w:sz w:val="21"/>
          <w:szCs w:val="21"/>
        </w:rPr>
        <w:t>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w:t>
      </w:r>
      <w:r>
        <w:rPr>
          <w:rFonts w:ascii="Arial" w:hAnsi="Arial" w:cs="Arial"/>
          <w:sz w:val="21"/>
          <w:szCs w:val="21"/>
        </w:rPr>
        <w:t>↔</w:t>
      </w:r>
      <w:r>
        <w:rPr>
          <w:rFonts w:ascii="Arial" w:hAnsi="Arial" w:cs="Arial"/>
          <w:sz w:val="21"/>
          <w:szCs w:val="21"/>
        </w:rPr>
        <w:t>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0CF8E7A" w14:textId="77777777" w:rsidR="0023423F" w:rsidRDefault="0023423F">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0599903A" w14:textId="77777777" w:rsidR="0023423F" w:rsidRDefault="0023423F">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w:t>
      </w:r>
      <w:r>
        <w:rPr>
          <w:rFonts w:ascii="Arial" w:hAnsi="Arial" w:cs="Arial"/>
          <w:sz w:val="21"/>
          <w:szCs w:val="21"/>
        </w:rPr>
        <w:t>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w:t>
      </w:r>
      <w:r>
        <w:rPr>
          <w:rFonts w:ascii="Arial" w:hAnsi="Arial" w:cs="Arial"/>
          <w:sz w:val="21"/>
          <w:szCs w:val="21"/>
        </w:rPr>
        <w:t>→</w:t>
      </w:r>
      <w:r>
        <w:rPr>
          <w:rFonts w:ascii="Arial" w:hAnsi="Arial" w:cs="Arial"/>
          <w:sz w:val="21"/>
          <w:szCs w:val="21"/>
        </w:rPr>
        <w:t> metal </w:t>
      </w:r>
      <w:r>
        <w:rPr>
          <w:rFonts w:ascii="Arial" w:hAnsi="Arial" w:cs="Arial"/>
          <w:sz w:val="21"/>
          <w:szCs w:val="21"/>
        </w:rPr>
        <w:t>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w:t>
      </w:r>
      <w:r>
        <w:rPr>
          <w:rFonts w:ascii="Arial" w:hAnsi="Arial" w:cs="Arial"/>
          <w:sz w:val="21"/>
          <w:szCs w:val="21"/>
        </w:rPr>
        <w:t>→</w:t>
      </w:r>
      <w:r>
        <w:rPr>
          <w:rFonts w:ascii="Arial" w:hAnsi="Arial" w:cs="Arial"/>
          <w:sz w:val="21"/>
          <w:szCs w:val="21"/>
        </w:rPr>
        <w:t>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F3EB37F" w14:textId="77777777" w:rsidR="0023423F" w:rsidRDefault="0023423F">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w:t>
      </w:r>
      <w:r>
        <w:rPr>
          <w:rFonts w:ascii="Arial" w:hAnsi="Arial" w:cs="Arial"/>
          <w:sz w:val="21"/>
          <w:szCs w:val="21"/>
        </w:rPr>
        <w:t>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w:t>
      </w:r>
      <w:r>
        <w:rPr>
          <w:rFonts w:ascii="Arial" w:hAnsi="Arial" w:cs="Arial"/>
          <w:sz w:val="21"/>
          <w:szCs w:val="21"/>
        </w:rPr>
        <w:t>eV) are publicly available; remarkably, the most important ML features (formation enthalpy, band gap, O-2p band centre, electronegativity difference) reproduce exactly the physical descriptors [44].</w:t>
      </w:r>
    </w:p>
    <w:p w14:paraId="5378F257" w14:textId="77777777" w:rsidR="0023423F" w:rsidRDefault="0023423F">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w:t>
      </w:r>
      <w:r>
        <w:rPr>
          <w:rFonts w:ascii="Arial" w:hAnsi="Arial" w:cs="Arial"/>
          <w:sz w:val="21"/>
          <w:szCs w:val="21"/>
        </w:rPr>
        <w:t>0.5) [31];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w:t>
      </w:r>
      <w:r>
        <w:rPr>
          <w:rFonts w:ascii="Arial" w:hAnsi="Arial" w:cs="Arial"/>
          <w:sz w:val="21"/>
          <w:szCs w:val="21"/>
        </w:rPr>
        <w:t>≈</w:t>
      </w:r>
      <w:r>
        <w:rPr>
          <w:rFonts w:ascii="Arial" w:hAnsi="Arial" w:cs="Arial"/>
          <w:sz w:val="21"/>
          <w:szCs w:val="21"/>
        </w:rPr>
        <w:t>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w:t>
      </w:r>
      <w:r>
        <w:rPr>
          <w:rFonts w:ascii="Arial" w:hAnsi="Arial" w:cs="Arial"/>
          <w:sz w:val="21"/>
          <w:szCs w:val="21"/>
        </w:rPr>
        <w:t>enough covalency for easy vacancy formation, enough stability for reversible operation – transfers directly to memristive devices, where large switching windows compete with retention and endurance.</w:t>
      </w:r>
    </w:p>
    <w:p w14:paraId="61F5E053" w14:textId="77777777" w:rsidR="0023423F" w:rsidRDefault="0023423F">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0ABBF7F" w14:textId="77777777" w:rsidR="0023423F" w:rsidRDefault="0023423F">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w:t>
      </w:r>
      <w:r>
        <w:rPr>
          <w:rFonts w:ascii="Arial" w:hAnsi="Arial" w:cs="Arial"/>
          <w:sz w:val="21"/>
          <w:szCs w:val="21"/>
        </w:rPr>
        <w:t>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w:t>
      </w:r>
      <w:r>
        <w:rPr>
          <w:rFonts w:ascii="Arial" w:hAnsi="Arial" w:cs="Arial"/>
          <w:sz w:val="21"/>
          <w:szCs w:val="21"/>
        </w:rPr>
        <w:t>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47DE41D4" w14:textId="77777777" w:rsidR="0023423F" w:rsidRDefault="0023423F">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w:t>
      </w:r>
      <w:r>
        <w:rPr>
          <w:rFonts w:ascii="Arial" w:hAnsi="Arial" w:cs="Arial"/>
          <w:sz w:val="21"/>
          <w:szCs w:val="21"/>
        </w:rPr>
        <w:t>54] attest to the maturity of the spectromicroscopic approach. Suitable end stations are available in Germany and Europe, including SPEEM and EMIL/OÆSE at BESSY II, P04 (soft X-rays) and P22 (HAXPES) at PETRA III, ID32 at the ESRF, and SIM and PolLux at the SLS.</w:t>
      </w:r>
    </w:p>
    <w:p w14:paraId="349041ED" w14:textId="77777777" w:rsidR="0023423F" w:rsidRDefault="0023423F">
      <w:pPr>
        <w:pStyle w:val="Heading3"/>
        <w:rPr>
          <w:rFonts w:ascii="Arial" w:eastAsia="Times New Roman" w:hAnsi="Arial" w:cs="Arial"/>
        </w:rPr>
      </w:pPr>
      <w:r>
        <w:rPr>
          <w:rFonts w:ascii="Arial" w:eastAsia="Times New Roman" w:hAnsi="Arial" w:cs="Arial"/>
        </w:rPr>
        <w:t>1.1.4  PLD growth of epitaxial oxide heterostructures</w:t>
      </w:r>
    </w:p>
    <w:p w14:paraId="1D3DE7C2" w14:textId="77777777" w:rsidR="0023423F" w:rsidRDefault="0023423F">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w:t>
      </w:r>
      <w:r>
        <w:rPr>
          <w:rFonts w:ascii="Arial" w:hAnsi="Arial" w:cs="Arial"/>
          <w:sz w:val="21"/>
          <w:szCs w:val="21"/>
        </w:rPr>
        <w:t>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w:t>
      </w:r>
      <w:r>
        <w:rPr>
          <w:rFonts w:ascii="Arial" w:hAnsi="Arial" w:cs="Arial"/>
          <w:sz w:val="21"/>
          <w:szCs w:val="21"/>
        </w:rPr>
        <w:t>configurations can be designed deliberately via solid-solution series for memristive systems [14] – however without systematic covalency variation and without spectroscopic descriptor quantification.</w:t>
      </w:r>
    </w:p>
    <w:p w14:paraId="6AF0BBF7" w14:textId="77777777" w:rsidR="0023423F" w:rsidRDefault="0023423F">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3067DF4E" w14:textId="77777777" w:rsidR="0023423F" w:rsidRDefault="0023423F">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t>
      </w:r>
      <w:r>
        <w:rPr>
          <w:rFonts w:ascii="Arial" w:hAnsi="Arial" w:cs="Arial"/>
          <w:sz w:val="21"/>
          <w:szCs w:val="21"/>
        </w:rPr>
        <w:t>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V</w:t>
      </w:r>
      <w:r>
        <w:rPr>
          <w:rFonts w:ascii="Arial" w:hAnsi="Arial" w:cs="Arial"/>
          <w:sz w:val="21"/>
          <w:szCs w:val="21"/>
          <w:vertAlign w:val="subscript"/>
        </w:rPr>
        <w:t>O</w:t>
      </w:r>
      <w:r>
        <w:rPr>
          <w:rFonts w:ascii="Arial" w:hAnsi="Arial" w:cs="Arial"/>
          <w:sz w:val="21"/>
          <w:szCs w:val="21"/>
        </w:rPr>
        <w:t xml:space="preserve"> </w:t>
      </w:r>
      <w:r>
        <w:rPr>
          <w:rFonts w:ascii="Arial" w:hAnsi="Arial" w:cs="Arial"/>
          <w:sz w:val="21"/>
          <w:szCs w:val="21"/>
        </w:rPr>
        <w:t>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1BEE6E75"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w:t>
      </w:r>
      <w:r>
        <w:rPr>
          <w:rFonts w:ascii="Arial" w:hAnsi="Arial" w:cs="Arial"/>
          <w:sz w:val="21"/>
          <w:szCs w:val="21"/>
        </w:rPr>
        <w:t>follows methodologically the quantum-chemical bonding-descriptor maps (“treasure maps”</w:t>
      </w:r>
      <w:r>
        <w:rPr>
          <w:rFonts w:ascii="Arial" w:hAnsi="Arial" w:cs="Arial"/>
          <w:sz w:val="21"/>
          <w:szCs w:val="21"/>
        </w:rPr>
        <w:t>)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w:t>
      </w:r>
      <w:r>
        <w:rPr>
          <w:rFonts w:ascii="Arial" w:hAnsi="Arial" w:cs="Arial"/>
          <w:sz w:val="21"/>
          <w:szCs w:val="21"/>
        </w:rPr>
        <w:t>d as a landscape. Such a map would have the same dual function as the original: it</w:t>
      </w:r>
      <w:r>
        <w:rPr>
          <w:rFonts w:ascii="Arial" w:hAnsi="Arial" w:cs="Arial"/>
          <w:sz w:val="21"/>
          <w:szCs w:val="21"/>
        </w:rPr>
        <w:t xml:space="preserve">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25103E0C" w14:textId="77777777" w:rsidR="0023423F" w:rsidRDefault="0023423F">
      <w:pPr>
        <w:pStyle w:val="Heading3"/>
        <w:rPr>
          <w:rFonts w:ascii="Arial" w:eastAsia="Times New Roman" w:hAnsi="Arial" w:cs="Arial"/>
        </w:rPr>
      </w:pPr>
      <w:r>
        <w:rPr>
          <w:rFonts w:ascii="Arial" w:eastAsia="Times New Roman" w:hAnsi="Arial" w:cs="Arial"/>
        </w:rPr>
        <w:t>1.1.6  Feasibility and prior findings on the chosen material series</w:t>
      </w:r>
    </w:p>
    <w:p w14:paraId="7B290708" w14:textId="77777777" w:rsidR="0023423F" w:rsidRDefault="0023423F">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itself is documented as an active switching layer (multilevel switching [68], forming-free interface devices [69],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6FFFB258" w14:textId="77777777" w:rsidR="0023423F" w:rsidRDefault="0023423F">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w:t>
      </w:r>
      <w:r>
        <w:rPr>
          <w:rFonts w:ascii="Arial" w:hAnsi="Arial" w:cs="Arial"/>
          <w:sz w:val="21"/>
          <w:szCs w:val="21"/>
        </w:rPr>
        <w:t>The literature survey identifies only a handful of genuine composition series in the entire perovskite ReRAM literature: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w:t>
      </w:r>
      <w:r>
        <w:rPr>
          <w:rFonts w:ascii="Arial" w:hAnsi="Arial" w:cs="Arial"/>
          <w:i/>
          <w:iCs/>
          <w:sz w:val="21"/>
          <w:szCs w:val="21"/>
        </w:rPr>
        <w:t>≈</w:t>
      </w:r>
      <w:r>
        <w:rPr>
          <w:rFonts w:ascii="Arial" w:hAnsi="Arial" w:cs="Arial"/>
          <w:i/>
          <w:iCs/>
          <w:sz w:val="21"/>
          <w:szCs w:val="21"/>
        </w:rPr>
        <w:t>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w:t>
      </w:r>
      <w:r>
        <w:rPr>
          <w:rFonts w:ascii="Arial" w:hAnsi="Arial" w:cs="Arial"/>
          <w:sz w:val="21"/>
          <w:szCs w:val="21"/>
        </w:rPr>
        <w:t>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only a polycrystalline study with a small doping window exists [80]. None of these studies links the series to computed vacancy formation energies, covalency descriptors or spectroscopic observables.</w:t>
      </w:r>
    </w:p>
    <w:p w14:paraId="3F69BE4C" w14:textId="77777777" w:rsidR="0023423F" w:rsidRDefault="0023423F">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w:t>
      </w:r>
      <w:r>
        <w:rPr>
          <w:rFonts w:ascii="Arial" w:hAnsi="Arial" w:cs="Arial"/>
          <w:sz w:val="21"/>
          <w:szCs w:val="21"/>
        </w:rPr>
        <w:t>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w:t>
      </w:r>
      <w:r>
        <w:rPr>
          <w:rFonts w:ascii="Arial" w:hAnsi="Arial" w:cs="Arial"/>
          <w:sz w:val="21"/>
          <w:szCs w:val="21"/>
        </w:rPr>
        <w:t>20]. These prior findings directly support hypotheses H1 and H2 and simultaneously make clear why a descriptor-based mapping (rather than isolated single studies) is required: the landscape is structured, but so far uncharted.</w:t>
      </w:r>
    </w:p>
    <w:p w14:paraId="56B64BD7" w14:textId="77777777" w:rsidR="0023423F" w:rsidRDefault="0023423F">
      <w:pPr>
        <w:pStyle w:val="Heading2"/>
        <w:rPr>
          <w:rFonts w:ascii="Arial" w:eastAsia="Times New Roman" w:hAnsi="Arial" w:cs="Arial"/>
        </w:rPr>
      </w:pPr>
      <w:r>
        <w:rPr>
          <w:rFonts w:ascii="Arial" w:eastAsia="Times New Roman" w:hAnsi="Arial" w:cs="Arial"/>
        </w:rPr>
        <w:t>1.2  Preliminary work of the applicant</w:t>
      </w:r>
    </w:p>
    <w:p w14:paraId="2A8855F7" w14:textId="77777777" w:rsidR="0023423F" w:rsidRDefault="0023423F">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w:t>
      </w:r>
      <w:r>
        <w:rPr>
          <w:rFonts w:ascii="Arial" w:hAnsi="Arial" w:cs="Arial"/>
          <w:sz w:val="21"/>
          <w:szCs w:val="21"/>
        </w:rPr>
        <w:t>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4B56BCEC" w14:textId="77777777" w:rsidR="0023423F" w:rsidRDefault="0023423F">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w:t>
      </w:r>
      <w:r>
        <w:rPr>
          <w:rFonts w:ascii="Arial" w:hAnsi="Arial" w:cs="Arial"/>
          <w:sz w:val="21"/>
          <w:szCs w:val="21"/>
        </w:rPr>
        <w:t>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599A7B8E" w14:textId="77777777" w:rsidR="0023423F" w:rsidRDefault="0023423F">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w:t>
      </w:r>
      <w:r>
        <w:rPr>
          <w:rFonts w:ascii="Arial" w:hAnsi="Arial" w:cs="Arial"/>
          <w:sz w:val="21"/>
          <w:szCs w:val="21"/>
        </w:rPr>
        <w:t>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w:t>
      </w:r>
      <w:r>
        <w:rPr>
          <w:rFonts w:ascii="Arial" w:hAnsi="Arial" w:cs="Arial"/>
          <w:sz w:val="21"/>
          <w:szCs w:val="21"/>
        </w:rPr>
        <w:t>he switching mode best suited for descriptor-based correlation, since it scales with the active area and is statistically robust to evaluate.</w:t>
      </w:r>
    </w:p>
    <w:p w14:paraId="1682DDEA" w14:textId="77777777" w:rsidR="0023423F" w:rsidRDefault="0023423F">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w:t>
      </w:r>
      <w:r>
        <w:rPr>
          <w:rFonts w:ascii="Arial" w:hAnsi="Arial" w:cs="Arial"/>
          <w:sz w:val="21"/>
          <w:szCs w:val="21"/>
        </w:rPr>
        <w:t>s students and long-standing teaching (laboratory course supervision, RWTH Aachen) document the supervision experience required for leading a research group.</w:t>
      </w:r>
    </w:p>
    <w:p w14:paraId="35881FFE" w14:textId="77777777" w:rsidR="0023423F" w:rsidRDefault="0023423F">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model series”, the applicant has grown an epitaxial PCMO composition series – </w:t>
      </w:r>
      <w:r>
        <w:rPr>
          <w:rFonts w:ascii="Arial" w:hAnsi="Arial" w:cs="Arial"/>
          <w:sz w:val="21"/>
          <w:szCs w:val="21"/>
        </w:rPr>
        <w:t>deliberately the mechanism-stable manganite family, free of topotactic transitions – established the O-K pre-edge covalency scale across it at the Stanford Synchrotron Radiation Lightsource (SSRL), and correlated it against the published switching-vs-composition benchmark of Asanuma et al. [75] [preliminary results; manuscript in preparation, E4 – insert headline result and status at submission time]. This closes the one former gap in the applicant’</w:t>
      </w:r>
      <w:r>
        <w:rPr>
          <w:rFonts w:ascii="Arial" w:hAnsi="Arial" w:cs="Arial"/>
          <w:sz w:val="21"/>
          <w:szCs w:val="21"/>
        </w:rPr>
        <w: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2401FC7" w14:textId="77777777" w:rsidR="0023423F" w:rsidRDefault="0023423F">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w:t>
      </w:r>
      <w:r>
        <w:rPr>
          <w:rFonts w:ascii="Arial" w:hAnsi="Arial" w:cs="Arial"/>
          <w:sz w:val="21"/>
          <w:szCs w:val="21"/>
        </w:rPr>
        <w:t>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w:t>
      </w:r>
      <w:r>
        <w:rPr>
          <w:rFonts w:ascii="Arial" w:hAnsi="Arial" w:cs="Arial"/>
          <w:sz w:val="21"/>
          <w:szCs w:val="21"/>
        </w:rPr>
        <w:t>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310FDA3A" w14:textId="77777777" w:rsidR="0023423F" w:rsidRDefault="0023423F">
      <w:pPr>
        <w:pStyle w:val="NormalWeb"/>
        <w:rPr>
          <w:rFonts w:ascii="Arial" w:hAnsi="Arial" w:cs="Arial"/>
          <w:sz w:val="21"/>
          <w:szCs w:val="21"/>
        </w:rPr>
      </w:pPr>
      <w:r>
        <w:rPr>
          <w:rFonts w:ascii="Arial" w:hAnsi="Arial" w:cs="Arial"/>
          <w:b/>
          <w:bCs/>
          <w:sz w:val="21"/>
          <w:szCs w:val="21"/>
        </w:rPr>
        <w:t>Project-relevant publications of the applicant:</w:t>
      </w:r>
    </w:p>
    <w:p w14:paraId="4833C11B" w14:textId="77777777" w:rsidR="0023423F" w:rsidRDefault="0023423F">
      <w:pPr>
        <w:spacing w:after="60"/>
        <w:ind w:hanging="480"/>
        <w:divId w:val="1358460308"/>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04840114" w14:textId="77777777" w:rsidR="0023423F" w:rsidRDefault="0023423F">
      <w:pPr>
        <w:spacing w:after="60"/>
        <w:ind w:hanging="480"/>
        <w:divId w:val="1358460308"/>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572A0EB1" w14:textId="77777777" w:rsidR="0023423F" w:rsidRDefault="0023423F">
      <w:pPr>
        <w:spacing w:after="60"/>
        <w:ind w:hanging="480"/>
        <w:divId w:val="1358460308"/>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3827F83" w14:textId="77777777" w:rsidR="0023423F" w:rsidRDefault="0023423F">
      <w:pPr>
        <w:spacing w:after="60"/>
        <w:ind w:hanging="480"/>
        <w:divId w:val="1358460308"/>
        <w:rPr>
          <w:rFonts w:ascii="Arial" w:hAnsi="Arial" w:cs="Arial"/>
          <w:sz w:val="18"/>
          <w:szCs w:val="18"/>
        </w:rPr>
      </w:pPr>
      <w:r>
        <w:rPr>
          <w:rFonts w:ascii="Arial" w:hAnsi="Arial" w:cs="Arial"/>
          <w:sz w:val="18"/>
          <w:szCs w:val="18"/>
        </w:rPr>
        <w:t>[E4] M. Buczek, [co-authors], W. C. Chueh, [working title: An experimental covalency scale for memristive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Manuscript in preparation (Feodor Lynen fellowship; update status at submission time).</w:t>
      </w:r>
    </w:p>
    <w:p w14:paraId="40626496" w14:textId="77777777" w:rsidR="0023423F" w:rsidRDefault="0023423F">
      <w:pPr>
        <w:pStyle w:val="muted1"/>
        <w:divId w:val="1358460308"/>
        <w:rPr>
          <w:rFonts w:ascii="Arial" w:hAnsi="Arial" w:cs="Arial"/>
        </w:rPr>
      </w:pPr>
      <w:r>
        <w:rPr>
          <w:rFonts w:ascii="Arial" w:hAnsi="Arial" w:cs="Arial"/>
        </w:rPr>
        <w:t>[Complete author lists and bibliographic details before submission; add patent application (NeuroSys) as [E5] if applicable.]</w:t>
      </w:r>
    </w:p>
    <w:p w14:paraId="19B9977A" w14:textId="77777777" w:rsidR="0023423F" w:rsidRDefault="0023423F">
      <w:pPr>
        <w:pStyle w:val="Heading1"/>
        <w:pageBreakBefore/>
        <w:rPr>
          <w:rFonts w:ascii="Arial" w:eastAsia="Times New Roman" w:hAnsi="Arial" w:cs="Arial"/>
        </w:rPr>
      </w:pPr>
      <w:r>
        <w:rPr>
          <w:rFonts w:ascii="Arial" w:eastAsia="Times New Roman" w:hAnsi="Arial" w:cs="Arial"/>
        </w:rPr>
        <w:t>2  Objectives and Work Programme</w:t>
      </w:r>
    </w:p>
    <w:p w14:paraId="7FF4D3A5" w14:textId="77777777" w:rsidR="0023423F" w:rsidRDefault="0023423F">
      <w:pPr>
        <w:pStyle w:val="Heading2"/>
        <w:rPr>
          <w:rFonts w:ascii="Arial" w:eastAsia="Times New Roman" w:hAnsi="Arial" w:cs="Arial"/>
        </w:rPr>
      </w:pPr>
      <w:r>
        <w:rPr>
          <w:rFonts w:ascii="Arial" w:eastAsia="Times New Roman" w:hAnsi="Arial" w:cs="Arial"/>
        </w:rPr>
        <w:t>2.1  Anticipated total duration</w:t>
      </w:r>
    </w:p>
    <w:p w14:paraId="6E686736" w14:textId="77777777" w:rsidR="0023423F" w:rsidRDefault="0023423F">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364C6FA4" w14:textId="77777777" w:rsidR="0023423F" w:rsidRDefault="0023423F">
      <w:pPr>
        <w:pStyle w:val="Heading2"/>
        <w:rPr>
          <w:rFonts w:ascii="Arial" w:eastAsia="Times New Roman" w:hAnsi="Arial" w:cs="Arial"/>
        </w:rPr>
      </w:pPr>
      <w:r>
        <w:rPr>
          <w:rFonts w:ascii="Arial" w:eastAsia="Times New Roman" w:hAnsi="Arial" w:cs="Arial"/>
        </w:rPr>
        <w:t>2.2  Objectives</w:t>
      </w:r>
    </w:p>
    <w:p w14:paraId="2D63A525" w14:textId="77777777" w:rsidR="0023423F" w:rsidRDefault="0023423F">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62C3499E" w14:textId="77777777" w:rsidR="0023423F" w:rsidRDefault="0023423F">
      <w:pPr>
        <w:pStyle w:val="NormalWeb"/>
        <w:rPr>
          <w:rFonts w:ascii="Arial" w:hAnsi="Arial" w:cs="Arial"/>
          <w:sz w:val="21"/>
          <w:szCs w:val="21"/>
        </w:rPr>
      </w:pPr>
      <w:r>
        <w:rPr>
          <w:rFonts w:ascii="Arial" w:hAnsi="Arial" w:cs="Arial"/>
          <w:sz w:val="21"/>
          <w:szCs w:val="21"/>
        </w:rPr>
        <w:t>Three testable hypotheses follow:</w:t>
      </w:r>
    </w:p>
    <w:p w14:paraId="78EC0FAE"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t>
      </w:r>
      <w:r>
        <w:rPr>
          <w:rFonts w:ascii="Arial" w:eastAsia="Times New Roman" w:hAnsi="Arial" w:cs="Arial"/>
          <w:sz w:val="21"/>
          <w:szCs w:val="21"/>
        </w:rPr>
        <w:t>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13228BE3"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2F5D38BD" w14:textId="77777777" w:rsidR="0023423F" w:rsidRDefault="0023423F">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26568A1F" w14:textId="77777777" w:rsidR="0023423F" w:rsidRDefault="0023423F">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w:t>
      </w:r>
      <w:r>
        <w:rPr>
          <w:rFonts w:ascii="Arial" w:hAnsi="Arial" w:cs="Arial"/>
          <w:sz w:val="21"/>
          <w:szCs w:val="21"/>
        </w:rPr>
        <w:t>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60FD8A79" w14:textId="77777777" w:rsidR="0023423F" w:rsidRDefault="0023423F">
      <w:pPr>
        <w:pStyle w:val="Heading2"/>
        <w:rPr>
          <w:rFonts w:ascii="Arial" w:eastAsia="Times New Roman" w:hAnsi="Arial" w:cs="Arial"/>
        </w:rPr>
      </w:pPr>
      <w:r>
        <w:rPr>
          <w:rFonts w:ascii="Arial" w:eastAsia="Times New Roman" w:hAnsi="Arial" w:cs="Arial"/>
        </w:rPr>
        <w:t>2.3  Materials strategy: covalency as an isolated control variable</w:t>
      </w:r>
    </w:p>
    <w:p w14:paraId="79B61B2C" w14:textId="77777777" w:rsidR="0023423F" w:rsidRDefault="0023423F">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w:t>
      </w:r>
      <w:r>
        <w:rPr>
          <w:rFonts w:ascii="Arial" w:hAnsi="Arial" w:cs="Arial"/>
          <w:sz w:val="21"/>
          <w:szCs w:val="21"/>
        </w:rPr>
        <w:t>→</w:t>
      </w:r>
      <w:r>
        <w:rPr>
          <w:rFonts w:ascii="Arial" w:hAnsi="Arial" w:cs="Arial"/>
          <w:sz w:val="21"/>
          <w:szCs w:val="21"/>
        </w:rPr>
        <w:t>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w:t>
      </w:r>
      <w:r>
        <w:rPr>
          <w:rFonts w:ascii="Arial" w:hAnsi="Arial" w:cs="Arial"/>
          <w:sz w:val="21"/>
          <w:szCs w:val="21"/>
        </w:rPr>
        <w:t>the decisive difference from previous material comparisons across publication and system boundaries.</w:t>
      </w:r>
    </w:p>
    <w:p w14:paraId="5A3D514E"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w:t>
      </w:r>
      <w:r>
        <w:rPr>
          <w:rFonts w:ascii="Arial" w:eastAsia="Times New Roman" w:hAnsi="Arial" w:cs="Arial"/>
          <w:b/>
          <w:bCs/>
          <w:sz w:val="21"/>
          <w:szCs w:val="21"/>
        </w:rPr>
        <w:t>≥</w:t>
      </w:r>
      <w:r>
        <w:rPr>
          <w:rFonts w:ascii="Arial" w:eastAsia="Times New Roman" w:hAnsi="Arial" w:cs="Arial"/>
          <w:b/>
          <w:bCs/>
          <w:sz w:val="21"/>
          <w:szCs w:val="21"/>
        </w:rPr>
        <w:t>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w:t>
      </w:r>
      <w:r>
        <w:rPr>
          <w:rFonts w:ascii="Arial" w:eastAsia="Times New Roman" w:hAnsi="Arial" w:cs="Arial"/>
          <w:sz w:val="21"/>
          <w:szCs w:val="21"/>
        </w:rPr>
        <w:t>→</w:t>
      </w:r>
      <w:r>
        <w:rPr>
          <w:rFonts w:ascii="Arial" w:eastAsia="Times New Roman" w:hAnsi="Arial" w:cs="Arial"/>
          <w:sz w:val="21"/>
          <w:szCs w:val="21"/>
        </w:rPr>
        <w:t>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D6513F2"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w:t>
      </w:r>
      <w:r>
        <w:rPr>
          <w:rFonts w:ascii="Arial" w:eastAsia="Times New Roman" w:hAnsi="Arial" w:cs="Arial"/>
          <w:sz w:val="21"/>
          <w:szCs w:val="21"/>
        </w:rPr>
        <w:t>Reference system with robust, well-documented VCM behaviour (PCMO kinship [4–6, 19]) and a flatter covalency span; XAS reference data are available from the literature [46].</w:t>
      </w:r>
    </w:p>
    <w:p w14:paraId="29BB195C" w14:textId="77777777" w:rsidR="0023423F" w:rsidRDefault="0023423F">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09C8AE60" w14:textId="77777777" w:rsidR="0023423F" w:rsidRDefault="0023423F">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72D64514" w14:textId="77777777" w:rsidR="0023423F" w:rsidRDefault="0023423F">
      <w:pPr>
        <w:pStyle w:val="Heading2"/>
        <w:rPr>
          <w:rFonts w:ascii="Arial" w:eastAsia="Times New Roman" w:hAnsi="Arial" w:cs="Arial"/>
        </w:rPr>
      </w:pPr>
      <w:r>
        <w:rPr>
          <w:rFonts w:ascii="Arial" w:eastAsia="Times New Roman" w:hAnsi="Arial" w:cs="Arial"/>
        </w:rPr>
        <w:t>2.4  Work programme</w:t>
      </w:r>
    </w:p>
    <w:p w14:paraId="212516EA" w14:textId="77777777" w:rsidR="0023423F" w:rsidRDefault="0023423F">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6ECD238" w14:textId="77777777" w:rsidR="0023423F" w:rsidRDefault="0023423F">
      <w:pPr>
        <w:pStyle w:val="NormalWeb"/>
        <w:rPr>
          <w:rFonts w:ascii="Arial" w:hAnsi="Arial" w:cs="Arial"/>
          <w:sz w:val="21"/>
          <w:szCs w:val="21"/>
        </w:rPr>
      </w:pPr>
      <w:r>
        <w:rPr>
          <w:rFonts w:ascii="Arial" w:hAnsi="Arial" w:cs="Arial"/>
          <w:sz w:val="21"/>
          <w:szCs w:val="21"/>
        </w:rPr>
        <w:t>Target preparation; RHEED-controlled, layer-precise growth [55–</w:t>
      </w:r>
      <w:r>
        <w:rPr>
          <w:rFonts w:ascii="Arial" w:hAnsi="Arial" w:cs="Arial"/>
          <w:sz w:val="21"/>
          <w:szCs w:val="21"/>
        </w:rPr>
        <w:t>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w:t>
      </w:r>
      <w:r>
        <w:rPr>
          <w:rFonts w:ascii="Arial" w:hAnsi="Arial" w:cs="Arial"/>
          <w:sz w:val="21"/>
          <w:szCs w:val="21"/>
        </w:rPr>
        <w:t>growth of a doping series, XAS covalency quantification, correlation against switching data – has been established and de-risked on the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pilot series during the applicant’s Feodor Lynen project [E4] and is transferred here to the ferrite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6649858F" w14:textId="77777777" w:rsidR="0023423F" w:rsidRDefault="0023423F">
      <w:pPr>
        <w:pStyle w:val="Heading3"/>
        <w:rPr>
          <w:rFonts w:ascii="Arial" w:eastAsia="Times New Roman" w:hAnsi="Arial" w:cs="Arial"/>
        </w:rPr>
      </w:pPr>
      <w:r>
        <w:rPr>
          <w:rFonts w:ascii="Arial" w:eastAsia="Times New Roman" w:hAnsi="Arial" w:cs="Arial"/>
        </w:rPr>
        <w:t xml:space="preserve">WP2 – </w:t>
      </w:r>
      <w:r>
        <w:rPr>
          <w:rFonts w:ascii="Arial" w:eastAsia="Times New Roman" w:hAnsi="Arial" w:cs="Arial"/>
        </w:rPr>
        <w:t>Device integration (doctoral researcher 2, supported by group leader; years 1–5)</w:t>
      </w:r>
    </w:p>
    <w:p w14:paraId="2D95A946" w14:textId="77777777" w:rsidR="0023423F" w:rsidRDefault="0023423F">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w:t>
      </w:r>
      <w:r>
        <w:rPr>
          <w:rFonts w:ascii="Arial" w:hAnsi="Arial" w:cs="Arial"/>
          <w:sz w:val="21"/>
          <w:szCs w:val="21"/>
        </w:rPr>
        <w:t>≥</w:t>
      </w:r>
      <w:r>
        <w:rPr>
          <w:rFonts w:ascii="Arial" w:hAnsi="Arial" w:cs="Arial"/>
          <w:sz w:val="21"/>
          <w:szCs w:val="21"/>
        </w:rPr>
        <w:t> </w:t>
      </w:r>
      <w:r>
        <w:rPr>
          <w:rFonts w:ascii="Arial" w:hAnsi="Arial" w:cs="Arial"/>
          <w:sz w:val="21"/>
          <w:szCs w:val="21"/>
        </w:rPr>
        <w:t>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618BB29A" w14:textId="77777777" w:rsidR="0023423F" w:rsidRDefault="0023423F">
      <w:pPr>
        <w:pStyle w:val="Heading3"/>
        <w:rPr>
          <w:rFonts w:ascii="Arial" w:eastAsia="Times New Roman" w:hAnsi="Arial" w:cs="Arial"/>
        </w:rPr>
      </w:pPr>
      <w:r>
        <w:rPr>
          <w:rFonts w:ascii="Arial" w:eastAsia="Times New Roman" w:hAnsi="Arial" w:cs="Arial"/>
        </w:rPr>
        <w:t>WP3 – Memristive characterisation (doctoral researcher 2; years 2–6)</w:t>
      </w:r>
    </w:p>
    <w:p w14:paraId="474FA56C" w14:textId="77777777" w:rsidR="0023423F" w:rsidRDefault="0023423F">
      <w:pPr>
        <w:pStyle w:val="NormalWeb"/>
        <w:rPr>
          <w:rFonts w:ascii="Arial" w:hAnsi="Arial" w:cs="Arial"/>
          <w:sz w:val="21"/>
          <w:szCs w:val="21"/>
        </w:rPr>
      </w:pPr>
      <w:r>
        <w:rPr>
          <w:rFonts w:ascii="Arial" w:hAnsi="Arial" w:cs="Arial"/>
          <w:sz w:val="21"/>
          <w:szCs w:val="21"/>
        </w:rPr>
        <w:t>Systematic measurement of all compositions under an identical protocol: quasistatic I–</w:t>
      </w:r>
      <w:r>
        <w:rPr>
          <w:rFonts w:ascii="Arial" w:hAnsi="Arial" w:cs="Arial"/>
          <w:sz w:val="21"/>
          <w:szCs w:val="21"/>
        </w:rPr>
        <w:t>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w:t>
      </w:r>
      <w:r>
        <w:rPr>
          <w:rFonts w:ascii="Arial" w:hAnsi="Arial" w:cs="Arial"/>
          <w:sz w:val="21"/>
          <w:szCs w:val="21"/>
        </w:rPr>
        <w:t>→</w:t>
      </w:r>
      <w:r>
        <w:rPr>
          <w:rFonts w:ascii="Arial" w:hAnsi="Arial" w:cs="Arial"/>
          <w:sz w:val="21"/>
          <w:szCs w:val="21"/>
        </w:rPr>
        <w:t xml:space="preserve"> state stability as a function of covalency, test of H2); endurance (</w:t>
      </w:r>
      <w:r>
        <w:rPr>
          <w:rFonts w:ascii="Arial" w:hAnsi="Arial" w:cs="Arial"/>
          <w:sz w:val="21"/>
          <w:szCs w:val="21"/>
        </w:rPr>
        <w:t>≥</w:t>
      </w:r>
      <w:r>
        <w:rPr>
          <w:rFonts w:ascii="Arial" w:hAnsi="Arial" w:cs="Arial"/>
          <w:sz w:val="21"/>
          <w:szCs w:val="21"/>
        </w:rPr>
        <w:t> 10</w:t>
      </w:r>
      <w:r>
        <w:rPr>
          <w:rFonts w:ascii="Arial" w:hAnsi="Arial" w:cs="Arial"/>
          <w:sz w:val="21"/>
          <w:szCs w:val="21"/>
          <w:vertAlign w:val="superscript"/>
        </w:rPr>
        <w:t>6</w:t>
      </w:r>
      <w:r>
        <w:rPr>
          <w:rFonts w:ascii="Arial" w:hAnsi="Arial" w:cs="Arial"/>
          <w:sz w:val="21"/>
          <w:szCs w:val="21"/>
        </w:rPr>
        <w:t xml:space="preserve"> </w:t>
      </w:r>
      <w:r>
        <w:rPr>
          <w:rFonts w:ascii="Arial" w:hAnsi="Arial" w:cs="Arial"/>
          <w:sz w:val="21"/>
          <w:szCs w:val="21"/>
        </w:rPr>
        <w:t>cycles); multilevel capability and linearity of conductance modulation (neuromorphic relevance [5, 20]). Temperature-dependent measurements (80–400 K) at the requested cryogenic probe station separate electronic from ionic contributions.</w:t>
      </w:r>
    </w:p>
    <w:p w14:paraId="5589F427" w14:textId="77777777" w:rsidR="0023423F" w:rsidRDefault="0023423F">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286866CB" w14:textId="77777777" w:rsidR="0023423F" w:rsidRDefault="0023423F">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w:t>
      </w:r>
      <w:r>
        <w:rPr>
          <w:rFonts w:ascii="Arial" w:hAnsi="Arial" w:cs="Arial"/>
          <w:sz w:val="21"/>
          <w:szCs w:val="21"/>
        </w:rPr>
        <w:t>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w:t>
      </w:r>
      <w:r>
        <w:rPr>
          <w:rFonts w:ascii="Arial" w:hAnsi="Arial" w:cs="Arial"/>
          <w:sz w:val="21"/>
          <w:szCs w:val="21"/>
        </w:rPr>
        <w:t>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483C3F6E" w14:textId="77777777" w:rsidR="0023423F" w:rsidRDefault="0023423F">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4A5A35F4" w14:textId="77777777" w:rsidR="0023423F" w:rsidRDefault="0023423F">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w:t>
      </w:r>
      <w:r>
        <w:rPr>
          <w:rFonts w:ascii="Arial" w:hAnsi="Arial" w:cs="Arial"/>
          <w:sz w:val="21"/>
          <w:szCs w:val="21"/>
        </w:rPr>
        <w:t>↔</w:t>
      </w:r>
      <w:r>
        <w:rPr>
          <w:rFonts w:ascii="Arial" w:hAnsi="Arial" w:cs="Arial"/>
          <w:sz w:val="21"/>
          <w:szCs w:val="21"/>
        </w:rPr>
        <w:t> E</w:t>
      </w:r>
      <w:r>
        <w:rPr>
          <w:rFonts w:ascii="Arial" w:hAnsi="Arial" w:cs="Arial"/>
          <w:sz w:val="21"/>
          <w:szCs w:val="21"/>
          <w:vertAlign w:val="subscript"/>
        </w:rPr>
        <w:t>V</w:t>
      </w:r>
      <w:r>
        <w:rPr>
          <w:rFonts w:ascii="Arial" w:hAnsi="Arial" w:cs="Arial"/>
          <w:sz w:val="21"/>
          <w:szCs w:val="21"/>
        </w:rPr>
        <w:t> </w:t>
      </w:r>
      <w:r>
        <w:rPr>
          <w:rFonts w:ascii="Arial" w:hAnsi="Arial" w:cs="Arial"/>
          <w:sz w:val="21"/>
          <w:szCs w:val="21"/>
        </w:rPr>
        <w:t>↔</w:t>
      </w:r>
      <w:r>
        <w:rPr>
          <w:rFonts w:ascii="Arial" w:hAnsi="Arial" w:cs="Arial"/>
          <w:sz w:val="21"/>
          <w:szCs w:val="21"/>
        </w:rPr>
        <w:t>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w:t>
      </w:r>
      <w:r>
        <w:rPr>
          <w:rFonts w:ascii="Arial" w:hAnsi="Arial" w:cs="Arial"/>
          <w:sz w:val="21"/>
          <w:szCs w:val="21"/>
        </w:rPr>
        <w:t>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01D4A710" w14:textId="77777777" w:rsidR="0023423F" w:rsidRDefault="0023423F">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3D76AAFC"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19C6F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5F397E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D17480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133A0A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A69AD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68E9C64"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8129F51"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5488209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A671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A23D51"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7235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B3B56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43AA88"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F1E30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9F18D3" w14:textId="77777777" w:rsidR="0023423F" w:rsidRDefault="0023423F">
            <w:pPr>
              <w:spacing w:before="120" w:after="200"/>
              <w:jc w:val="center"/>
              <w:rPr>
                <w:rFonts w:ascii="Arial" w:eastAsia="Times New Roman" w:hAnsi="Arial" w:cs="Arial"/>
                <w:sz w:val="19"/>
                <w:szCs w:val="19"/>
              </w:rPr>
            </w:pPr>
          </w:p>
        </w:tc>
      </w:tr>
      <w:tr w:rsidR="00000000" w14:paraId="717B46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7BEDE"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1F4F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603314"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943D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01F97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CD03C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17D60C" w14:textId="77777777" w:rsidR="0023423F" w:rsidRDefault="0023423F">
            <w:pPr>
              <w:spacing w:before="120" w:after="200"/>
              <w:jc w:val="center"/>
              <w:rPr>
                <w:rFonts w:ascii="Arial" w:eastAsia="Times New Roman" w:hAnsi="Arial" w:cs="Arial"/>
                <w:sz w:val="19"/>
                <w:szCs w:val="19"/>
              </w:rPr>
            </w:pPr>
          </w:p>
        </w:tc>
      </w:tr>
      <w:tr w:rsidR="00000000" w14:paraId="3260D8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D7D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D1135D"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E0B80B"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14EFE"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404DAD"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F0B2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082ADA"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7F65D9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6C973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F2C9CB"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3420E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DFF612"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FDF6F"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BAFCC"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73CC0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5C1643A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64F20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A57CC4"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B0219B" w14:textId="77777777" w:rsidR="0023423F" w:rsidRDefault="0023423F">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05F15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087760"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D87B17"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F6D356" w14:textId="77777777" w:rsidR="0023423F" w:rsidRDefault="0023423F">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5D2DA34C" w14:textId="77777777" w:rsidR="0023423F" w:rsidRDefault="0023423F">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75E4DDF4"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ADE87B5"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08F037"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4301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535BD11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3DB6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A5626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BDBF2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2163E3A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BACB"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BABF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E919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2BD571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19EC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D48CE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2E99F8"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60E8DA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821DB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BBFC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CE06D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7CDD3D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2426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F5D744"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503A0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6EA8242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45922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0516A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38DE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437F8CFD" w14:textId="77777777" w:rsidR="0023423F" w:rsidRDefault="0023423F">
      <w:pPr>
        <w:pStyle w:val="Heading2"/>
        <w:rPr>
          <w:rFonts w:ascii="Arial" w:eastAsia="Times New Roman" w:hAnsi="Arial" w:cs="Arial"/>
        </w:rPr>
      </w:pPr>
      <w:r>
        <w:rPr>
          <w:rFonts w:ascii="Arial" w:eastAsia="Times New Roman" w:hAnsi="Arial" w:cs="Arial"/>
        </w:rPr>
        <w:t>2.6  Handling of research data</w:t>
      </w:r>
    </w:p>
    <w:p w14:paraId="0F508EF8" w14:textId="77777777" w:rsidR="0023423F" w:rsidRDefault="0023423F">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w:t>
      </w:r>
      <w:r>
        <w:rPr>
          <w:rFonts w:ascii="Arial" w:hAnsi="Arial" w:cs="Arial"/>
          <w:sz w:val="21"/>
          <w:szCs w:val="21"/>
        </w:rPr>
        <w:t>and the DFG guidelines on the handling of research data will be observed.</w:t>
      </w:r>
    </w:p>
    <w:p w14:paraId="20897765" w14:textId="77777777" w:rsidR="0023423F" w:rsidRDefault="0023423F">
      <w:pPr>
        <w:pStyle w:val="Heading2"/>
        <w:rPr>
          <w:rFonts w:ascii="Arial" w:eastAsia="Times New Roman" w:hAnsi="Arial" w:cs="Arial"/>
        </w:rPr>
      </w:pPr>
      <w:r>
        <w:rPr>
          <w:rFonts w:ascii="Arial" w:eastAsia="Times New Roman" w:hAnsi="Arial" w:cs="Arial"/>
        </w:rPr>
        <w:t>2.7  Relevance and exploitation perspective</w:t>
      </w:r>
    </w:p>
    <w:p w14:paraId="54B6131D" w14:textId="77777777" w:rsidR="0023423F" w:rsidRDefault="0023423F">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w:t>
      </w:r>
      <w:r>
        <w:rPr>
          <w:rFonts w:ascii="Arial" w:hAnsi="Arial" w:cs="Arial"/>
          <w:sz w:val="21"/>
          <w:szCs w:val="21"/>
        </w:rPr>
        <w:t>20]. The junior research group built up within the project moreover anchors the combination PLD synthesis / device physics / synchrotron spectroscopy as an independent profile at the host institution.</w:t>
      </w:r>
    </w:p>
    <w:p w14:paraId="68082CEE" w14:textId="77777777" w:rsidR="0023423F" w:rsidRDefault="0023423F">
      <w:pPr>
        <w:pStyle w:val="Heading1"/>
        <w:pageBreakBefore/>
        <w:rPr>
          <w:rFonts w:ascii="Arial" w:eastAsia="Times New Roman" w:hAnsi="Arial" w:cs="Arial"/>
        </w:rPr>
      </w:pPr>
      <w:r>
        <w:rPr>
          <w:rFonts w:ascii="Arial" w:eastAsia="Times New Roman" w:hAnsi="Arial" w:cs="Arial"/>
        </w:rPr>
        <w:t>3  Bibliography</w:t>
      </w:r>
    </w:p>
    <w:p w14:paraId="1CB087CC" w14:textId="77777777" w:rsidR="0023423F" w:rsidRDefault="0023423F">
      <w:pPr>
        <w:spacing w:after="60"/>
        <w:ind w:hanging="480"/>
        <w:divId w:val="219944520"/>
        <w:rPr>
          <w:rFonts w:ascii="Arial" w:hAnsi="Arial" w:cs="Arial"/>
          <w:sz w:val="18"/>
          <w:szCs w:val="18"/>
        </w:rPr>
      </w:pPr>
      <w:r>
        <w:rPr>
          <w:rFonts w:ascii="Arial" w:hAnsi="Arial" w:cs="Arial"/>
          <w:sz w:val="18"/>
          <w:szCs w:val="18"/>
        </w:rPr>
        <w:t>[1] R. Waser, M. Aono, Nanoionics-based resistive switching memories. Nature Materials 6, 833–840 (2007).</w:t>
      </w:r>
    </w:p>
    <w:p w14:paraId="3B564EB6" w14:textId="77777777" w:rsidR="0023423F" w:rsidRDefault="0023423F">
      <w:pPr>
        <w:spacing w:after="60"/>
        <w:ind w:hanging="480"/>
        <w:divId w:val="219944520"/>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79167F65" w14:textId="77777777" w:rsidR="0023423F" w:rsidRDefault="0023423F">
      <w:pPr>
        <w:spacing w:after="60"/>
        <w:ind w:hanging="480"/>
        <w:divId w:val="219944520"/>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6F2239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 A. Sawa, Resistive switching in transition metal oxides. Materials Today 11(6), 28–36 (2008).</w:t>
      </w:r>
    </w:p>
    <w:p w14:paraId="0F002977" w14:textId="77777777" w:rsidR="0023423F" w:rsidRDefault="0023423F">
      <w:pPr>
        <w:spacing w:after="60"/>
        <w:ind w:hanging="480"/>
        <w:divId w:val="219944520"/>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4436B03" w14:textId="77777777" w:rsidR="0023423F" w:rsidRDefault="0023423F">
      <w:pPr>
        <w:spacing w:after="60"/>
        <w:ind w:hanging="480"/>
        <w:divId w:val="219944520"/>
        <w:rPr>
          <w:rFonts w:ascii="Arial" w:hAnsi="Arial" w:cs="Arial"/>
          <w:sz w:val="18"/>
          <w:szCs w:val="18"/>
        </w:rPr>
      </w:pPr>
      <w:r>
        <w:rPr>
          <w:rFonts w:ascii="Arial" w:hAnsi="Arial" w:cs="Arial"/>
          <w:sz w:val="18"/>
          <w:szCs w:val="18"/>
        </w:rPr>
        <w:t>[6] Š. Bagdzevič</w:t>
      </w:r>
      <w:r>
        <w:rPr>
          <w:rFonts w:ascii="Arial" w:hAnsi="Arial" w:cs="Arial"/>
          <w:sz w:val="18"/>
          <w:szCs w:val="18"/>
        </w:rPr>
        <w:t>ius, K. Maas, M. Boudard, M. Burriel, Interface-type resistive switching in perovskite materials. Journal of Electroceramics 39, 157–184 (2017).</w:t>
      </w:r>
    </w:p>
    <w:p w14:paraId="796D0F14" w14:textId="77777777" w:rsidR="0023423F" w:rsidRDefault="0023423F">
      <w:pPr>
        <w:spacing w:after="60"/>
        <w:ind w:hanging="480"/>
        <w:divId w:val="219944520"/>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67E86CEC" w14:textId="77777777" w:rsidR="0023423F" w:rsidRDefault="0023423F">
      <w:pPr>
        <w:spacing w:after="60"/>
        <w:ind w:hanging="480"/>
        <w:divId w:val="219944520"/>
        <w:rPr>
          <w:rFonts w:ascii="Arial" w:hAnsi="Arial" w:cs="Arial"/>
          <w:sz w:val="18"/>
          <w:szCs w:val="18"/>
        </w:rPr>
      </w:pPr>
      <w:r>
        <w:rPr>
          <w:rFonts w:ascii="Arial" w:hAnsi="Arial" w:cs="Arial"/>
          <w:sz w:val="18"/>
          <w:szCs w:val="18"/>
        </w:rPr>
        <w:t>[8] D.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w:t>
      </w:r>
      <w:r>
        <w:rPr>
          <w:rFonts w:ascii="Arial" w:hAnsi="Arial" w:cs="Arial"/>
          <w:sz w:val="18"/>
          <w:szCs w:val="18"/>
        </w:rPr>
        <w:t>Thin-Film Memristive Devices. Advanced Materials 22, 4819–4822 (2010).</w:t>
      </w:r>
    </w:p>
    <w:p w14:paraId="5AA780E9" w14:textId="77777777" w:rsidR="0023423F" w:rsidRDefault="0023423F">
      <w:pPr>
        <w:spacing w:after="60"/>
        <w:ind w:hanging="480"/>
        <w:divId w:val="219944520"/>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6709490D" w14:textId="77777777" w:rsidR="0023423F" w:rsidRDefault="0023423F">
      <w:pPr>
        <w:spacing w:after="60"/>
        <w:ind w:hanging="480"/>
        <w:divId w:val="219944520"/>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6A4472D4" w14:textId="77777777" w:rsidR="0023423F" w:rsidRDefault="0023423F">
      <w:pPr>
        <w:spacing w:after="60"/>
        <w:ind w:hanging="480"/>
        <w:divId w:val="219944520"/>
        <w:rPr>
          <w:rFonts w:ascii="Arial" w:hAnsi="Arial" w:cs="Arial"/>
          <w:sz w:val="18"/>
          <w:szCs w:val="18"/>
        </w:rPr>
      </w:pPr>
      <w:r>
        <w:rPr>
          <w:rFonts w:ascii="Arial" w:hAnsi="Arial" w:cs="Arial"/>
          <w:sz w:val="18"/>
          <w:szCs w:val="18"/>
        </w:rPr>
        <w:t>[11] S. Menzel, M. Waters, A. Marchewka, U. Bö</w:t>
      </w:r>
      <w:r>
        <w:rPr>
          <w:rFonts w:ascii="Arial" w:hAnsi="Arial" w:cs="Arial"/>
          <w:sz w:val="18"/>
          <w:szCs w:val="18"/>
        </w:rPr>
        <w:t>ttger, R. Dittmann, R. Waser, Origin of the Ultra-nonlinear Switching Kinetics in Oxide-Based Resistive Switches. Advanced Functional Materials 21, 4487–4492 (2011).</w:t>
      </w:r>
    </w:p>
    <w:p w14:paraId="5EF61990" w14:textId="77777777" w:rsidR="0023423F" w:rsidRDefault="0023423F">
      <w:pPr>
        <w:spacing w:after="60"/>
        <w:ind w:hanging="480"/>
        <w:divId w:val="219944520"/>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223F8E65" w14:textId="77777777" w:rsidR="0023423F" w:rsidRDefault="0023423F">
      <w:pPr>
        <w:spacing w:after="60"/>
        <w:ind w:hanging="480"/>
        <w:divId w:val="219944520"/>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7B466D70" w14:textId="77777777" w:rsidR="0023423F" w:rsidRDefault="0023423F">
      <w:pPr>
        <w:spacing w:after="60"/>
        <w:ind w:hanging="480"/>
        <w:divId w:val="219944520"/>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57E15D18" w14:textId="77777777" w:rsidR="0023423F" w:rsidRDefault="0023423F">
      <w:pPr>
        <w:spacing w:after="60"/>
        <w:ind w:hanging="480"/>
        <w:divId w:val="219944520"/>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7BBD41D9" w14:textId="77777777" w:rsidR="0023423F" w:rsidRDefault="0023423F">
      <w:pPr>
        <w:spacing w:after="60"/>
        <w:ind w:hanging="480"/>
        <w:divId w:val="219944520"/>
        <w:rPr>
          <w:rFonts w:ascii="Arial" w:hAnsi="Arial" w:cs="Arial"/>
          <w:sz w:val="18"/>
          <w:szCs w:val="18"/>
        </w:rPr>
      </w:pPr>
      <w:r>
        <w:rPr>
          <w:rFonts w:ascii="Arial" w:hAnsi="Arial" w:cs="Arial"/>
          <w:sz w:val="18"/>
          <w:szCs w:val="18"/>
        </w:rPr>
        <w:t>[16] V. R. Nallagatla et al., Interface-Type and Filamentary Switching Controlled by Crystal Orientation in Topotactic Phase Transition Driven Memristive Devices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9423C2" w14:textId="77777777" w:rsidR="0023423F" w:rsidRDefault="0023423F">
      <w:pPr>
        <w:spacing w:after="60"/>
        <w:ind w:hanging="480"/>
        <w:divId w:val="219944520"/>
        <w:rPr>
          <w:rFonts w:ascii="Arial" w:hAnsi="Arial" w:cs="Arial"/>
          <w:sz w:val="18"/>
          <w:szCs w:val="18"/>
        </w:rPr>
      </w:pPr>
      <w:r>
        <w:rPr>
          <w:rFonts w:ascii="Arial" w:hAnsi="Arial" w:cs="Arial"/>
          <w:sz w:val="18"/>
          <w:szCs w:val="18"/>
        </w:rPr>
        <w:t>[17] H.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1C2CA21F" w14:textId="77777777" w:rsidR="0023423F" w:rsidRDefault="0023423F">
      <w:pPr>
        <w:spacing w:after="60"/>
        <w:ind w:hanging="480"/>
        <w:divId w:val="219944520"/>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77542E2A" w14:textId="77777777" w:rsidR="0023423F" w:rsidRDefault="0023423F">
      <w:pPr>
        <w:spacing w:after="60"/>
        <w:ind w:hanging="480"/>
        <w:divId w:val="219944520"/>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37BF638" w14:textId="77777777" w:rsidR="0023423F" w:rsidRDefault="0023423F">
      <w:pPr>
        <w:spacing w:after="60"/>
        <w:ind w:hanging="480"/>
        <w:divId w:val="219944520"/>
        <w:rPr>
          <w:rFonts w:ascii="Arial" w:hAnsi="Arial" w:cs="Arial"/>
          <w:sz w:val="18"/>
          <w:szCs w:val="18"/>
        </w:rPr>
      </w:pPr>
      <w:r>
        <w:rPr>
          <w:rFonts w:ascii="Arial" w:hAnsi="Arial" w:cs="Arial"/>
          <w:sz w:val="18"/>
          <w:szCs w:val="18"/>
        </w:rPr>
        <w:t>[20] X. Zhang et al., Analog memristive synapse based on topotactic phase transition for high-performance neuromorphic computing and neural network pruning. Science Advances 7, eabh0648 (2021).</w:t>
      </w:r>
    </w:p>
    <w:p w14:paraId="75A1B103" w14:textId="77777777" w:rsidR="0023423F" w:rsidRDefault="0023423F">
      <w:pPr>
        <w:spacing w:after="60"/>
        <w:ind w:hanging="480"/>
        <w:divId w:val="219944520"/>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710A4DE" w14:textId="77777777" w:rsidR="0023423F" w:rsidRDefault="0023423F">
      <w:pPr>
        <w:spacing w:after="60"/>
        <w:ind w:hanging="480"/>
        <w:divId w:val="219944520"/>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3491B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Ni) for solid oxide fuel cell cathodes. Physical Review B 80, 224101 (2009).</w:t>
      </w:r>
    </w:p>
    <w:p w14:paraId="563F62A6"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w:t>
      </w:r>
      <w:r>
        <w:rPr>
          <w:rFonts w:ascii="Arial" w:hAnsi="Arial" w:cs="Arial"/>
          <w:sz w:val="18"/>
          <w:szCs w:val="18"/>
        </w:rPr>
        <w:t>Environmental Science 4, 3966–3970 (2011).</w:t>
      </w:r>
    </w:p>
    <w:p w14:paraId="58B854BE" w14:textId="77777777" w:rsidR="0023423F" w:rsidRDefault="0023423F">
      <w:pPr>
        <w:spacing w:after="60"/>
        <w:ind w:hanging="480"/>
        <w:divId w:val="219944520"/>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3297E014" w14:textId="77777777" w:rsidR="0023423F" w:rsidRDefault="0023423F">
      <w:pPr>
        <w:spacing w:after="60"/>
        <w:ind w:hanging="480"/>
        <w:divId w:val="219944520"/>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77C3E0E" w14:textId="77777777" w:rsidR="0023423F" w:rsidRDefault="0023423F">
      <w:pPr>
        <w:spacing w:after="60"/>
        <w:ind w:hanging="480"/>
        <w:divId w:val="219944520"/>
        <w:rPr>
          <w:rFonts w:ascii="Arial" w:hAnsi="Arial" w:cs="Arial"/>
          <w:sz w:val="18"/>
          <w:szCs w:val="18"/>
        </w:rPr>
      </w:pPr>
      <w:r>
        <w:rPr>
          <w:rFonts w:ascii="Arial" w:hAnsi="Arial" w:cs="Arial"/>
          <w:sz w:val="18"/>
          <w:szCs w:val="18"/>
        </w:rPr>
        <w:t>[27] A. M. Deml, V. Stevanović</w:t>
      </w:r>
      <w:r>
        <w:rPr>
          <w:rFonts w:ascii="Arial" w:hAnsi="Arial" w:cs="Arial"/>
          <w:sz w:val="18"/>
          <w:szCs w:val="18"/>
        </w:rPr>
        <w:t>, C. L. Muhich, C. B. Musgrave, R. O’Hayre, Oxide enthalpy of formation and band gap energy as accurate descriptors of oxygen vacancy formation energetics. Energy &amp; Environmental Science 7, 1996–2004 (2014).</w:t>
      </w:r>
    </w:p>
    <w:p w14:paraId="446549F2" w14:textId="77777777" w:rsidR="0023423F" w:rsidRDefault="0023423F">
      <w:pPr>
        <w:spacing w:after="60"/>
        <w:ind w:hanging="480"/>
        <w:divId w:val="219944520"/>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CD29EDA" w14:textId="77777777" w:rsidR="0023423F" w:rsidRDefault="0023423F">
      <w:pPr>
        <w:spacing w:after="60"/>
        <w:ind w:hanging="480"/>
        <w:divId w:val="219944520"/>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37251E83" w14:textId="77777777" w:rsidR="0023423F" w:rsidRDefault="0023423F">
      <w:pPr>
        <w:spacing w:after="60"/>
        <w:ind w:hanging="480"/>
        <w:divId w:val="219944520"/>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2610513F" w14:textId="77777777" w:rsidR="0023423F" w:rsidRDefault="0023423F">
      <w:pPr>
        <w:spacing w:after="60"/>
        <w:ind w:hanging="480"/>
        <w:divId w:val="219944520"/>
        <w:rPr>
          <w:rFonts w:ascii="Arial" w:hAnsi="Arial" w:cs="Arial"/>
          <w:sz w:val="18"/>
          <w:szCs w:val="18"/>
        </w:rPr>
      </w:pPr>
      <w:r>
        <w:rPr>
          <w:rFonts w:ascii="Arial" w:hAnsi="Arial" w:cs="Arial"/>
          <w:sz w:val="18"/>
          <w:szCs w:val="18"/>
        </w:rPr>
        <w:t>[31] A. M. Ritzmann, A. B. Muñoz-Garcí</w:t>
      </w:r>
      <w:r>
        <w:rPr>
          <w:rFonts w:ascii="Arial" w:hAnsi="Arial" w:cs="Arial"/>
          <w:sz w:val="18"/>
          <w:szCs w:val="18"/>
        </w:rPr>
        <w:t>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5B09A691" w14:textId="77777777" w:rsidR="0023423F" w:rsidRDefault="0023423F">
      <w:pPr>
        <w:spacing w:after="60"/>
        <w:ind w:hanging="480"/>
        <w:divId w:val="219944520"/>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47E9DC" w14:textId="77777777" w:rsidR="0023423F" w:rsidRDefault="0023423F">
      <w:pPr>
        <w:spacing w:after="60"/>
        <w:ind w:hanging="480"/>
        <w:divId w:val="219944520"/>
        <w:rPr>
          <w:rFonts w:ascii="Arial" w:hAnsi="Arial" w:cs="Arial"/>
          <w:sz w:val="18"/>
          <w:szCs w:val="18"/>
        </w:rPr>
      </w:pPr>
      <w:r>
        <w:rPr>
          <w:rFonts w:ascii="Arial" w:hAnsi="Arial" w:cs="Arial"/>
          <w:sz w:val="18"/>
          <w:szCs w:val="18"/>
        </w:rPr>
        <w:t>[33] E. A. Kotomin et al.,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DE366F4" w14:textId="77777777" w:rsidR="0023423F" w:rsidRDefault="0023423F">
      <w:pPr>
        <w:spacing w:after="60"/>
        <w:ind w:hanging="480"/>
        <w:divId w:val="219944520"/>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67F163CC" w14:textId="77777777" w:rsidR="0023423F" w:rsidRDefault="0023423F">
      <w:pPr>
        <w:spacing w:after="60"/>
        <w:ind w:hanging="480"/>
        <w:divId w:val="219944520"/>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28E7C0D" w14:textId="77777777" w:rsidR="0023423F" w:rsidRDefault="0023423F">
      <w:pPr>
        <w:spacing w:after="60"/>
        <w:ind w:hanging="480"/>
        <w:divId w:val="219944520"/>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F39CAA1" w14:textId="77777777" w:rsidR="0023423F" w:rsidRDefault="0023423F">
      <w:pPr>
        <w:spacing w:after="60"/>
        <w:ind w:hanging="480"/>
        <w:divId w:val="219944520"/>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071F360B" w14:textId="77777777" w:rsidR="0023423F" w:rsidRDefault="0023423F">
      <w:pPr>
        <w:spacing w:after="60"/>
        <w:ind w:hanging="480"/>
        <w:divId w:val="219944520"/>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w:t>
      </w:r>
      <w:r>
        <w:rPr>
          <w:rFonts w:ascii="Arial" w:hAnsi="Arial" w:cs="Arial"/>
          <w:sz w:val="18"/>
          <w:szCs w:val="18"/>
        </w:rPr>
        <w:t>Environmental Science 10, 2190–2200 (2017).</w:t>
      </w:r>
    </w:p>
    <w:p w14:paraId="5368F646" w14:textId="77777777" w:rsidR="0023423F" w:rsidRDefault="0023423F">
      <w:pPr>
        <w:spacing w:after="60"/>
        <w:ind w:hanging="480"/>
        <w:divId w:val="219944520"/>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7CBCB0B2" w14:textId="77777777" w:rsidR="0023423F" w:rsidRDefault="0023423F">
      <w:pPr>
        <w:spacing w:after="60"/>
        <w:ind w:hanging="480"/>
        <w:divId w:val="219944520"/>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6DD391A0" w14:textId="77777777" w:rsidR="0023423F" w:rsidRDefault="0023423F">
      <w:pPr>
        <w:spacing w:after="60"/>
        <w:ind w:hanging="480"/>
        <w:divId w:val="219944520"/>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688695CB" w14:textId="77777777" w:rsidR="0023423F" w:rsidRDefault="0023423F">
      <w:pPr>
        <w:spacing w:after="60"/>
        <w:ind w:hanging="480"/>
        <w:divId w:val="219944520"/>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0E2D7187" w14:textId="77777777" w:rsidR="0023423F" w:rsidRDefault="0023423F">
      <w:pPr>
        <w:spacing w:after="60"/>
        <w:ind w:hanging="480"/>
        <w:divId w:val="219944520"/>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00690749" w14:textId="77777777" w:rsidR="0023423F" w:rsidRDefault="0023423F">
      <w:pPr>
        <w:spacing w:after="60"/>
        <w:ind w:hanging="480"/>
        <w:divId w:val="219944520"/>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58493AAF" w14:textId="77777777" w:rsidR="0023423F" w:rsidRDefault="0023423F">
      <w:pPr>
        <w:spacing w:after="60"/>
        <w:ind w:hanging="480"/>
        <w:divId w:val="219944520"/>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0C5D2A23" w14:textId="77777777" w:rsidR="0023423F" w:rsidRDefault="0023423F">
      <w:pPr>
        <w:spacing w:after="60"/>
        <w:ind w:hanging="480"/>
        <w:divId w:val="219944520"/>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D264B6A" w14:textId="77777777" w:rsidR="0023423F" w:rsidRDefault="0023423F">
      <w:pPr>
        <w:spacing w:after="60"/>
        <w:ind w:hanging="480"/>
        <w:divId w:val="219944520"/>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1282561" w14:textId="77777777" w:rsidR="0023423F" w:rsidRDefault="0023423F">
      <w:pPr>
        <w:spacing w:after="60"/>
        <w:ind w:hanging="480"/>
        <w:divId w:val="219944520"/>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2C2EEE74" w14:textId="77777777" w:rsidR="0023423F" w:rsidRDefault="0023423F">
      <w:pPr>
        <w:spacing w:after="60"/>
        <w:ind w:hanging="480"/>
        <w:divId w:val="219944520"/>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1F7EA77E" w14:textId="77777777" w:rsidR="0023423F" w:rsidRDefault="0023423F">
      <w:pPr>
        <w:spacing w:after="60"/>
        <w:ind w:hanging="480"/>
        <w:divId w:val="219944520"/>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8EC4DF6" w14:textId="77777777" w:rsidR="0023423F" w:rsidRDefault="0023423F">
      <w:pPr>
        <w:spacing w:after="60"/>
        <w:ind w:hanging="480"/>
        <w:divId w:val="219944520"/>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7C77B140" w14:textId="77777777" w:rsidR="0023423F" w:rsidRDefault="0023423F">
      <w:pPr>
        <w:spacing w:after="60"/>
        <w:ind w:hanging="480"/>
        <w:divId w:val="219944520"/>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16D7F11E" w14:textId="77777777" w:rsidR="0023423F" w:rsidRDefault="0023423F">
      <w:pPr>
        <w:spacing w:after="60"/>
        <w:ind w:hanging="480"/>
        <w:divId w:val="219944520"/>
        <w:rPr>
          <w:rFonts w:ascii="Arial" w:hAnsi="Arial" w:cs="Arial"/>
          <w:sz w:val="18"/>
          <w:szCs w:val="18"/>
        </w:rPr>
      </w:pPr>
      <w:r>
        <w:rPr>
          <w:rFonts w:ascii="Arial" w:hAnsi="Arial" w:cs="Arial"/>
          <w:sz w:val="18"/>
          <w:szCs w:val="18"/>
        </w:rPr>
        <w:t>[53] A. Gogoi, R. Dittmann et al., Resistive Switching Systems: A Spectromicroscopy Approach. Physica Status Solidi A 221, 2300500 (2024).</w:t>
      </w:r>
    </w:p>
    <w:p w14:paraId="7549D1F4" w14:textId="77777777" w:rsidR="0023423F" w:rsidRDefault="0023423F">
      <w:pPr>
        <w:spacing w:after="60"/>
        <w:ind w:hanging="480"/>
        <w:divId w:val="219944520"/>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2C08777A" w14:textId="77777777" w:rsidR="0023423F" w:rsidRDefault="0023423F">
      <w:pPr>
        <w:spacing w:after="60"/>
        <w:ind w:hanging="480"/>
        <w:divId w:val="219944520"/>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5BDC4448" w14:textId="77777777" w:rsidR="0023423F" w:rsidRDefault="0023423F">
      <w:pPr>
        <w:spacing w:after="60"/>
        <w:ind w:hanging="480"/>
        <w:divId w:val="219944520"/>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2C346A81" w14:textId="77777777" w:rsidR="0023423F" w:rsidRDefault="0023423F">
      <w:pPr>
        <w:spacing w:after="60"/>
        <w:ind w:hanging="480"/>
        <w:divId w:val="219944520"/>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Surface Science 168, 227–230 (2000).</w:t>
      </w:r>
    </w:p>
    <w:p w14:paraId="71E6A35D" w14:textId="77777777" w:rsidR="0023423F" w:rsidRDefault="0023423F">
      <w:pPr>
        <w:spacing w:after="60"/>
        <w:ind w:hanging="480"/>
        <w:divId w:val="219944520"/>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38161215" w14:textId="77777777" w:rsidR="0023423F" w:rsidRDefault="0023423F">
      <w:pPr>
        <w:spacing w:after="60"/>
        <w:ind w:hanging="480"/>
        <w:divId w:val="219944520"/>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41C08DAA" w14:textId="77777777" w:rsidR="0023423F" w:rsidRDefault="0023423F">
      <w:pPr>
        <w:spacing w:after="60"/>
        <w:ind w:hanging="480"/>
        <w:divId w:val="219944520"/>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13078B07" w14:textId="77777777" w:rsidR="0023423F" w:rsidRDefault="0023423F">
      <w:pPr>
        <w:spacing w:after="60"/>
        <w:ind w:hanging="480"/>
        <w:divId w:val="219944520"/>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236D3DF9" w14:textId="77777777" w:rsidR="0023423F" w:rsidRDefault="0023423F">
      <w:pPr>
        <w:spacing w:after="60"/>
        <w:ind w:hanging="480"/>
        <w:divId w:val="219944520"/>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30EF364D" w14:textId="77777777" w:rsidR="0023423F" w:rsidRDefault="0023423F">
      <w:pPr>
        <w:spacing w:after="60"/>
        <w:ind w:hanging="480"/>
        <w:divId w:val="219944520"/>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6402EE54" w14:textId="77777777" w:rsidR="0023423F" w:rsidRDefault="0023423F">
      <w:pPr>
        <w:spacing w:after="60"/>
        <w:ind w:hanging="480"/>
        <w:divId w:val="219944520"/>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5F7DFBDC" w14:textId="77777777" w:rsidR="0023423F" w:rsidRDefault="0023423F">
      <w:pPr>
        <w:spacing w:after="60"/>
        <w:ind w:hanging="480"/>
        <w:divId w:val="219944520"/>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7F33FD9C" w14:textId="77777777" w:rsidR="0023423F" w:rsidRDefault="0023423F">
      <w:pPr>
        <w:spacing w:after="60"/>
        <w:ind w:hanging="480"/>
        <w:divId w:val="219944520"/>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08954FF2" w14:textId="77777777" w:rsidR="0023423F" w:rsidRDefault="0023423F">
      <w:pPr>
        <w:spacing w:after="60"/>
        <w:ind w:hanging="480"/>
        <w:divId w:val="219944520"/>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8BD92" w14:textId="77777777" w:rsidR="0023423F" w:rsidRDefault="0023423F">
      <w:pPr>
        <w:spacing w:after="60"/>
        <w:ind w:hanging="480"/>
        <w:divId w:val="219944520"/>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CFD6EE5" w14:textId="77777777" w:rsidR="0023423F" w:rsidRDefault="0023423F">
      <w:pPr>
        <w:spacing w:after="60"/>
        <w:ind w:hanging="480"/>
        <w:divId w:val="219944520"/>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w:t>
      </w:r>
      <w:r>
        <w:rPr>
          <w:rFonts w:ascii="Arial" w:hAnsi="Arial" w:cs="Arial"/>
          <w:sz w:val="18"/>
          <w:szCs w:val="18"/>
        </w:rPr>
        <w:t>films for memristor devices with negative differential resistance-coupled resistive switching. ACS Applied Nano Materials 7, 6139–6147 (2024).</w:t>
      </w:r>
    </w:p>
    <w:p w14:paraId="11940D67" w14:textId="77777777" w:rsidR="0023423F" w:rsidRDefault="0023423F">
      <w:pPr>
        <w:spacing w:after="60"/>
        <w:ind w:hanging="480"/>
        <w:divId w:val="219944520"/>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7D2E375" w14:textId="77777777" w:rsidR="0023423F" w:rsidRDefault="0023423F">
      <w:pPr>
        <w:spacing w:after="60"/>
        <w:ind w:hanging="480"/>
        <w:divId w:val="219944520"/>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706D04CC" w14:textId="77777777" w:rsidR="0023423F" w:rsidRDefault="0023423F">
      <w:pPr>
        <w:spacing w:after="60"/>
        <w:ind w:hanging="480"/>
        <w:divId w:val="219944520"/>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215E0BB5" w14:textId="77777777" w:rsidR="0023423F" w:rsidRDefault="0023423F">
      <w:pPr>
        <w:spacing w:after="60"/>
        <w:ind w:hanging="480"/>
        <w:divId w:val="219944520"/>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2FF3F380" w14:textId="77777777" w:rsidR="0023423F" w:rsidRDefault="0023423F">
      <w:pPr>
        <w:spacing w:after="60"/>
        <w:ind w:hanging="480"/>
        <w:divId w:val="219944520"/>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w:t>
      </w:r>
      <w:r>
        <w:rPr>
          <w:rFonts w:ascii="Arial" w:hAnsi="Arial" w:cs="Arial"/>
          <w:sz w:val="18"/>
          <w:szCs w:val="18"/>
        </w:rPr>
        <w:t>Thin-Film-Based Memristors by Strain Engineering. ACS Applied Electronic Materials 4, 2729–2738 (2022).</w:t>
      </w:r>
    </w:p>
    <w:p w14:paraId="3CD139AF" w14:textId="77777777" w:rsidR="0023423F" w:rsidRDefault="0023423F">
      <w:pPr>
        <w:spacing w:after="60"/>
        <w:ind w:hanging="480"/>
        <w:divId w:val="219944520"/>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419ED3A7" w14:textId="77777777" w:rsidR="0023423F" w:rsidRDefault="0023423F">
      <w:pPr>
        <w:spacing w:after="60"/>
        <w:ind w:hanging="480"/>
        <w:divId w:val="219944520"/>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w:t>
      </w:r>
      <w:r>
        <w:rPr>
          <w:rFonts w:ascii="Arial" w:hAnsi="Arial" w:cs="Arial"/>
          <w:sz w:val="18"/>
          <w:szCs w:val="18"/>
        </w:rPr>
        <w:t>–18371 (2021).</w:t>
      </w:r>
    </w:p>
    <w:p w14:paraId="052A88C9" w14:textId="77777777" w:rsidR="0023423F" w:rsidRDefault="0023423F">
      <w:pPr>
        <w:spacing w:after="60"/>
        <w:ind w:hanging="480"/>
        <w:divId w:val="219944520"/>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4BCE35B3" w14:textId="77777777" w:rsidR="0023423F" w:rsidRDefault="0023423F">
      <w:pPr>
        <w:spacing w:after="60"/>
        <w:ind w:hanging="480"/>
        <w:divId w:val="219944520"/>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40EEF416" w14:textId="77777777" w:rsidR="0023423F" w:rsidRDefault="0023423F">
      <w:pPr>
        <w:spacing w:after="60"/>
        <w:ind w:hanging="480"/>
        <w:divId w:val="219944520"/>
        <w:rPr>
          <w:rFonts w:ascii="Arial" w:hAnsi="Arial" w:cs="Arial"/>
          <w:sz w:val="18"/>
          <w:szCs w:val="18"/>
        </w:rPr>
      </w:pPr>
      <w:r>
        <w:rPr>
          <w:rFonts w:ascii="Arial" w:hAnsi="Arial" w:cs="Arial"/>
          <w:sz w:val="18"/>
          <w:szCs w:val="18"/>
        </w:rPr>
        <w:t>[79] N.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w:t>
      </w:r>
      <w:r>
        <w:rPr>
          <w:rFonts w:ascii="Arial" w:hAnsi="Arial" w:cs="Arial"/>
          <w:sz w:val="18"/>
          <w:szCs w:val="18"/>
        </w:rPr>
        <w:t>electrical properties through oxygen deficiency induced magnetic transition. Applied Physics Reviews 11, 041426 (2024).</w:t>
      </w:r>
    </w:p>
    <w:p w14:paraId="2A16C497" w14:textId="77777777" w:rsidR="0023423F" w:rsidRDefault="0023423F">
      <w:pPr>
        <w:spacing w:after="60"/>
        <w:ind w:hanging="480"/>
        <w:divId w:val="219944520"/>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14:paraId="46808B1A" w14:textId="77777777" w:rsidR="0023423F" w:rsidRDefault="0023423F">
      <w:pPr>
        <w:pStyle w:val="Heading1"/>
        <w:pageBreakBefore/>
        <w:rPr>
          <w:rFonts w:ascii="Arial" w:eastAsia="Times New Roman" w:hAnsi="Arial" w:cs="Arial"/>
        </w:rPr>
      </w:pPr>
      <w:r>
        <w:rPr>
          <w:rFonts w:ascii="Arial" w:eastAsia="Times New Roman" w:hAnsi="Arial" w:cs="Arial"/>
        </w:rPr>
        <w:t>4  Requested Modules and Funds</w:t>
      </w:r>
    </w:p>
    <w:p w14:paraId="4C6551C4" w14:textId="77777777" w:rsidR="0023423F" w:rsidRDefault="0023423F">
      <w:pPr>
        <w:pStyle w:val="NormalWeb"/>
        <w:rPr>
          <w:rFonts w:ascii="Arial" w:hAnsi="Arial" w:cs="Arial"/>
          <w:sz w:val="21"/>
          <w:szCs w:val="21"/>
        </w:rPr>
      </w:pPr>
      <w:r>
        <w:rPr>
          <w:rFonts w:ascii="Arial" w:hAnsi="Arial" w:cs="Arial"/>
          <w:sz w:val="21"/>
          <w:szCs w:val="21"/>
        </w:rPr>
        <w:t>The personnel funds are based on the DFG personnel rates for 2026 (form 60.12 – 01/26). Doctoral positions are budgeted at 75 </w:t>
      </w:r>
      <w:r>
        <w:rPr>
          <w:rFonts w:ascii="Arial" w:hAnsi="Arial" w:cs="Arial"/>
          <w:sz w:val="21"/>
          <w:szCs w:val="21"/>
        </w:rPr>
        <w:t xml:space="preserve">% of a full-time position in line with standard practice in physics (100 % rate: € 81,600/year </w:t>
      </w:r>
      <w:r>
        <w:rPr>
          <w:rFonts w:ascii="Arial" w:hAnsi="Arial" w:cs="Arial"/>
          <w:sz w:val="21"/>
          <w:szCs w:val="21"/>
        </w:rPr>
        <w:t>→</w:t>
      </w:r>
      <w:r>
        <w:rPr>
          <w:rFonts w:ascii="Arial" w:hAnsi="Arial" w:cs="Arial"/>
          <w:sz w:val="21"/>
          <w:szCs w:val="21"/>
        </w:rPr>
        <w:t xml:space="preserve"> € 61,200/year).</w:t>
      </w:r>
    </w:p>
    <w:p w14:paraId="65FEA691" w14:textId="77777777" w:rsidR="0023423F" w:rsidRDefault="0023423F">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6DE27066"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548E4C2"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7CEFC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C06433C"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4E2E4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519588"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E0AFB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FEEBC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A7C20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CA67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E7AF4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C3D5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028DCB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5826C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27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65503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C45A2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2644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3C4E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CFCFB0"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5F5B7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44F4D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71CBA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F712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19520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CFD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64EA5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80107C"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0533F2"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A6AF0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70E96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FC106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0F272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5DB8D1"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8805D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55CFB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476DFE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C07D61"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6BB12" w14:textId="77777777" w:rsidR="0023423F" w:rsidRDefault="0023423F">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36A4C"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1A765" w14:textId="77777777" w:rsidR="0023423F" w:rsidRDefault="0023423F">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5FB9F6"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61C03FC2" w14:textId="77777777" w:rsidR="0023423F" w:rsidRDefault="0023423F">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75AD324" w14:textId="77777777" w:rsidR="0023423F" w:rsidRDefault="0023423F">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60E18A8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262C18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A638E6"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4122B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C0EA6"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ABEAF"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59B31AE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11EA6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A351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30CC0A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1CEE0F"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E59EE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456ECB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47B93C"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9A024C"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55C4BAF1" w14:textId="77777777" w:rsidR="0023423F" w:rsidRDefault="0023423F">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EB4AE5"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4496CD"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D5A1BD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579AF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A4FEB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CCB64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2B2B4A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3FC5E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97E4A5"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76403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D547E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33F5A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5992E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DC8FB3"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81B8B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0954C08" w14:textId="77777777" w:rsidR="0023423F" w:rsidRDefault="0023423F">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A928E12" w14:textId="77777777" w:rsidR="0023423F" w:rsidRDefault="0023423F">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22D373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3612719"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25CCC3"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533360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AC4C37"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4B0E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6833CBC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ABA50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696C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741D63A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1C751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C3F1BB"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748ED2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840962"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68ABA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0E10D4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372355"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532DCD"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36B934EC" w14:textId="77777777" w:rsidR="0023423F" w:rsidRDefault="0023423F">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472B248"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A3009D0"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FF566BA" w14:textId="77777777" w:rsidR="0023423F" w:rsidRDefault="0023423F">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5DAFCF7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2E3D49"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F1FE27"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2DBF25F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B71C5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C7F99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21B3CCE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1F73B5"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A6A278"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C6280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7B42D"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57CD0E"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006F56C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E6D156"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F99900"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3376D82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61494A" w14:textId="77777777" w:rsidR="0023423F" w:rsidRDefault="0023423F">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587C9"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0D88D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00BFD" w14:textId="77777777" w:rsidR="0023423F" w:rsidRDefault="0023423F">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8DA5A" w14:textId="77777777" w:rsidR="0023423F" w:rsidRDefault="0023423F">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784740EC" w14:textId="77777777" w:rsidR="0023423F" w:rsidRDefault="0023423F">
      <w:pPr>
        <w:pStyle w:val="Heading1"/>
        <w:pageBreakBefore/>
        <w:rPr>
          <w:rFonts w:ascii="Arial" w:eastAsia="Times New Roman" w:hAnsi="Arial" w:cs="Arial"/>
        </w:rPr>
      </w:pPr>
      <w:r>
        <w:rPr>
          <w:rFonts w:ascii="Arial" w:eastAsia="Times New Roman" w:hAnsi="Arial" w:cs="Arial"/>
        </w:rPr>
        <w:t>5  Prerequisites for Carrying Out the Project</w:t>
      </w:r>
    </w:p>
    <w:p w14:paraId="60928D00" w14:textId="77777777" w:rsidR="0023423F" w:rsidRDefault="0023423F">
      <w:pPr>
        <w:pStyle w:val="Heading2"/>
        <w:rPr>
          <w:rFonts w:ascii="Arial" w:eastAsia="Times New Roman" w:hAnsi="Arial" w:cs="Arial"/>
        </w:rPr>
      </w:pPr>
      <w:r>
        <w:rPr>
          <w:rFonts w:ascii="Arial" w:eastAsia="Times New Roman" w:hAnsi="Arial" w:cs="Arial"/>
        </w:rPr>
        <w:t>5.1  Environment at the host institution</w:t>
      </w:r>
    </w:p>
    <w:p w14:paraId="71382F29" w14:textId="77777777" w:rsidR="0023423F" w:rsidRDefault="0023423F">
      <w:pPr>
        <w:pStyle w:val="NormalWeb"/>
        <w:rPr>
          <w:rFonts w:ascii="Arial" w:hAnsi="Arial" w:cs="Arial"/>
          <w:sz w:val="21"/>
          <w:szCs w:val="21"/>
        </w:rPr>
      </w:pPr>
      <w:r>
        <w:rPr>
          <w:rFonts w:ascii="Arial" w:hAnsi="Arial" w:cs="Arial"/>
          <w:sz w:val="21"/>
          <w:szCs w:val="21"/>
        </w:rPr>
        <w:t>[RWTH Aachen University or Forschungszentrum Jülich – to be fixed before submission; within the Jü</w:t>
      </w:r>
      <w:r>
        <w:rPr>
          <w:rFonts w:ascii="Arial" w:hAnsi="Arial" w:cs="Arial"/>
          <w:sz w:val="21"/>
          <w:szCs w:val="21"/>
        </w:rPr>
        <w:t>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w:t>
      </w:r>
      <w:r>
        <w:rPr>
          <w:rFonts w:ascii="Arial" w:hAnsi="Arial" w:cs="Arial"/>
          <w:sz w:val="21"/>
          <w:szCs w:val="21"/>
        </w:rPr>
        <w:t>tory space and basic equipment</w:t>
      </w:r>
      <w:r>
        <w:rPr>
          <w:rFonts w:ascii="Arial" w:hAnsi="Arial" w:cs="Arial"/>
          <w:sz w:val="21"/>
          <w:szCs w:val="21"/>
        </w:rPr>
        <w:t xml:space="preserve"> – obligatory for Emmy Noether proposals.]</w:t>
      </w:r>
    </w:p>
    <w:p w14:paraId="137622E5" w14:textId="77777777" w:rsidR="0023423F" w:rsidRDefault="0023423F">
      <w:pPr>
        <w:pStyle w:val="Heading2"/>
        <w:rPr>
          <w:rFonts w:ascii="Arial" w:eastAsia="Times New Roman" w:hAnsi="Arial" w:cs="Arial"/>
        </w:rPr>
      </w:pPr>
      <w:r>
        <w:rPr>
          <w:rFonts w:ascii="Arial" w:eastAsia="Times New Roman" w:hAnsi="Arial" w:cs="Arial"/>
        </w:rPr>
        <w:t>5.2  Collaborations</w:t>
      </w:r>
    </w:p>
    <w:p w14:paraId="36256D5B"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54E0FE72"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568E32B4"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283C14AF" w14:textId="77777777" w:rsidR="0023423F" w:rsidRDefault="0023423F">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23F249A1" w14:textId="77777777" w:rsidR="0023423F" w:rsidRDefault="0023423F">
      <w:pPr>
        <w:pStyle w:val="NormalWeb"/>
        <w:rPr>
          <w:rFonts w:ascii="Arial" w:hAnsi="Arial" w:cs="Arial"/>
          <w:sz w:val="21"/>
          <w:szCs w:val="21"/>
        </w:rPr>
      </w:pPr>
      <w:r>
        <w:rPr>
          <w:rFonts w:ascii="Arial" w:hAnsi="Arial" w:cs="Arial"/>
          <w:sz w:val="21"/>
          <w:szCs w:val="21"/>
        </w:rPr>
        <w:t>[Attach letters of commitment as appendices.]</w:t>
      </w:r>
    </w:p>
    <w:p w14:paraId="20FF66FA" w14:textId="77777777" w:rsidR="0023423F" w:rsidRDefault="0023423F">
      <w:pPr>
        <w:pStyle w:val="Heading2"/>
        <w:rPr>
          <w:rFonts w:ascii="Arial" w:eastAsia="Times New Roman" w:hAnsi="Arial" w:cs="Arial"/>
        </w:rPr>
      </w:pPr>
      <w:r>
        <w:rPr>
          <w:rFonts w:ascii="Arial" w:eastAsia="Times New Roman" w:hAnsi="Arial" w:cs="Arial"/>
        </w:rPr>
        <w:t>5.3  Equal opportunities, early-career researchers</w:t>
      </w:r>
    </w:p>
    <w:p w14:paraId="011E5539" w14:textId="77777777" w:rsidR="0023423F" w:rsidRDefault="0023423F">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03B81B5E" w14:textId="77777777" w:rsidR="0023423F" w:rsidRDefault="0023423F">
      <w:pPr>
        <w:pStyle w:val="Heading1"/>
        <w:rPr>
          <w:rFonts w:ascii="Arial" w:eastAsia="Times New Roman" w:hAnsi="Arial" w:cs="Arial"/>
        </w:rPr>
      </w:pPr>
      <w:r>
        <w:rPr>
          <w:rFonts w:ascii="Arial" w:eastAsia="Times New Roman" w:hAnsi="Arial" w:cs="Arial"/>
        </w:rPr>
        <w:t>6  Declarations</w:t>
      </w:r>
    </w:p>
    <w:p w14:paraId="48FE8658"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 xml:space="preserve">No proposal for funding of this project </w:t>
      </w:r>
      <w:r>
        <w:rPr>
          <w:rFonts w:ascii="Arial" w:eastAsia="Times New Roman" w:hAnsi="Arial" w:cs="Arial"/>
          <w:sz w:val="21"/>
          <w:szCs w:val="21"/>
        </w:rPr>
        <w:t>has been submitted to any other institution. In the event of parallel or later submission elsewhere, the DFG will be informed immediately.</w:t>
      </w:r>
    </w:p>
    <w:p w14:paraId="6774AED9"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0264A35C"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69DBC2CE" w14:textId="77777777" w:rsidR="0023423F" w:rsidRDefault="0023423F">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23423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A95844"/>
    <w:multiLevelType w:val="multilevel"/>
    <w:tmpl w:val="F56C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8F4CCC"/>
    <w:multiLevelType w:val="multilevel"/>
    <w:tmpl w:val="EDC4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570BA6"/>
    <w:multiLevelType w:val="multilevel"/>
    <w:tmpl w:val="0692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4304B26"/>
    <w:multiLevelType w:val="multilevel"/>
    <w:tmpl w:val="A2A87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4268770">
    <w:abstractNumId w:val="3"/>
  </w:num>
  <w:num w:numId="2" w16cid:durableId="208616185">
    <w:abstractNumId w:val="2"/>
  </w:num>
  <w:num w:numId="3" w16cid:durableId="863831637">
    <w:abstractNumId w:val="1"/>
  </w:num>
  <w:num w:numId="4" w16cid:durableId="4249622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93E2E"/>
    <w:rsid w:val="0023423F"/>
    <w:rsid w:val="00693E2E"/>
    <w:rsid w:val="009521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4C1E55"/>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9944520">
      <w:marLeft w:val="0"/>
      <w:marRight w:val="0"/>
      <w:marTop w:val="0"/>
      <w:marBottom w:val="0"/>
      <w:divBdr>
        <w:top w:val="none" w:sz="0" w:space="0" w:color="auto"/>
        <w:left w:val="none" w:sz="0" w:space="0" w:color="auto"/>
        <w:bottom w:val="none" w:sz="0" w:space="0" w:color="auto"/>
        <w:right w:val="none" w:sz="0" w:space="0" w:color="auto"/>
      </w:divBdr>
    </w:div>
    <w:div w:id="1358460308">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8092</Words>
  <Characters>46125</Characters>
  <Application>Microsoft Office Word</Application>
  <DocSecurity>4</DocSecurity>
  <Lines>384</Lines>
  <Paragraphs>108</Paragraphs>
  <ScaleCrop>false</ScaleCrop>
  <Company/>
  <LinksUpToDate>false</LinksUpToDate>
  <CharactersWithSpaces>54109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2026-08-09T14:10:00Z</dcterms:created>
  <dcterms:modified xsi:type="dcterms:W3CDTF">2026-08-09T14:10:00Z</dcterms:modified>
</cp:coreProperties>
</file>