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6843" w14:textId="77777777" w:rsidR="002902C7" w:rsidRDefault="002902C7">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C24C2F5" w14:textId="77777777" w:rsidR="002902C7" w:rsidRDefault="002902C7">
      <w:pPr>
        <w:pStyle w:val="NormalWeb"/>
        <w:rPr>
          <w:rFonts w:ascii="Arial" w:hAnsi="Arial" w:cs="Arial"/>
          <w:sz w:val="21"/>
          <w:szCs w:val="21"/>
        </w:rPr>
      </w:pPr>
      <w:r>
        <w:rPr>
          <w:rFonts w:ascii="Arial" w:hAnsi="Arial" w:cs="Arial"/>
          <w:sz w:val="21"/>
          <w:szCs w:val="21"/>
        </w:rPr>
        <w:t> </w:t>
      </w:r>
    </w:p>
    <w:p w14:paraId="09580B25" w14:textId="77777777" w:rsidR="002902C7" w:rsidRDefault="002902C7">
      <w:pPr>
        <w:pStyle w:val="NormalWeb"/>
        <w:rPr>
          <w:rFonts w:ascii="Arial" w:hAnsi="Arial" w:cs="Arial"/>
          <w:sz w:val="21"/>
          <w:szCs w:val="21"/>
        </w:rPr>
      </w:pPr>
      <w:r>
        <w:rPr>
          <w:rFonts w:ascii="Arial" w:hAnsi="Arial" w:cs="Arial"/>
          <w:sz w:val="21"/>
          <w:szCs w:val="21"/>
        </w:rPr>
        <w:t> </w:t>
      </w:r>
    </w:p>
    <w:p w14:paraId="11B051A0" w14:textId="77777777" w:rsidR="002902C7" w:rsidRDefault="002902C7">
      <w:pPr>
        <w:pStyle w:val="NormalWeb"/>
        <w:rPr>
          <w:rFonts w:ascii="Arial" w:hAnsi="Arial" w:cs="Arial"/>
          <w:sz w:val="21"/>
          <w:szCs w:val="21"/>
        </w:rPr>
      </w:pPr>
      <w:r>
        <w:rPr>
          <w:rFonts w:ascii="Arial" w:hAnsi="Arial" w:cs="Arial"/>
          <w:sz w:val="21"/>
          <w:szCs w:val="21"/>
        </w:rPr>
        <w:t> </w:t>
      </w:r>
    </w:p>
    <w:p w14:paraId="34383008" w14:textId="77777777" w:rsidR="002902C7" w:rsidRDefault="002902C7">
      <w:pPr>
        <w:pStyle w:val="center"/>
        <w:spacing w:before="0" w:beforeAutospacing="0" w:after="140"/>
        <w:rPr>
          <w:rFonts w:ascii="Arial" w:hAnsi="Arial" w:cs="Arial"/>
          <w:sz w:val="32"/>
          <w:szCs w:val="32"/>
        </w:rPr>
      </w:pPr>
      <w:r>
        <w:rPr>
          <w:rFonts w:ascii="Arial" w:hAnsi="Arial" w:cs="Arial"/>
          <w:b/>
          <w:bCs/>
          <w:sz w:val="32"/>
          <w:szCs w:val="32"/>
        </w:rPr>
        <w:t>COVMAP</w:t>
      </w:r>
    </w:p>
    <w:p w14:paraId="6A9772A1" w14:textId="77777777" w:rsidR="002902C7" w:rsidRDefault="002902C7">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4F156E84" w14:textId="77777777" w:rsidR="002902C7" w:rsidRDefault="002902C7">
      <w:pPr>
        <w:pStyle w:val="NormalWeb"/>
        <w:rPr>
          <w:rFonts w:ascii="Arial" w:hAnsi="Arial" w:cs="Arial"/>
          <w:sz w:val="21"/>
          <w:szCs w:val="21"/>
        </w:rPr>
      </w:pPr>
      <w:r>
        <w:rPr>
          <w:rFonts w:ascii="Arial" w:hAnsi="Arial" w:cs="Arial"/>
          <w:sz w:val="21"/>
          <w:szCs w:val="21"/>
        </w:rPr>
        <w:t> </w:t>
      </w:r>
    </w:p>
    <w:p w14:paraId="043DAA9A" w14:textId="77777777" w:rsidR="002902C7" w:rsidRDefault="002902C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61B6D7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C697F5"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CD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5D419B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43121F"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1B095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5432B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021F6"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3A9B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7925F9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42CC"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C4C4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656D7F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DA1F2B"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EA9BF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BFB85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7F9D8"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F8986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0929DD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3B8B67"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FED9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261C601E" w14:textId="77777777" w:rsidR="002902C7" w:rsidRDefault="002902C7">
      <w:pPr>
        <w:pStyle w:val="NormalWeb"/>
        <w:rPr>
          <w:rFonts w:ascii="Arial" w:hAnsi="Arial" w:cs="Arial"/>
          <w:sz w:val="21"/>
          <w:szCs w:val="21"/>
        </w:rPr>
      </w:pPr>
      <w:r>
        <w:rPr>
          <w:rFonts w:ascii="Arial" w:hAnsi="Arial" w:cs="Arial"/>
          <w:sz w:val="21"/>
          <w:szCs w:val="21"/>
        </w:rPr>
        <w:t> </w:t>
      </w:r>
    </w:p>
    <w:p w14:paraId="29A023C2" w14:textId="77777777" w:rsidR="002902C7" w:rsidRDefault="002902C7">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7F88A08A" w14:textId="77777777" w:rsidR="002902C7" w:rsidRDefault="002902C7">
      <w:pPr>
        <w:pStyle w:val="Heading1"/>
        <w:pageBreakBefore/>
        <w:rPr>
          <w:rFonts w:ascii="Arial" w:eastAsia="Times New Roman" w:hAnsi="Arial" w:cs="Arial"/>
        </w:rPr>
      </w:pPr>
      <w:r>
        <w:rPr>
          <w:rFonts w:ascii="Arial" w:eastAsia="Times New Roman" w:hAnsi="Arial" w:cs="Arial"/>
        </w:rPr>
        <w:lastRenderedPageBreak/>
        <w:t>Part B1 – Extended Synopsis</w:t>
      </w:r>
    </w:p>
    <w:p w14:paraId="3783D0E2" w14:textId="77777777" w:rsidR="002902C7" w:rsidRDefault="002902C7">
      <w:pPr>
        <w:pStyle w:val="Heading2"/>
        <w:rPr>
          <w:rFonts w:ascii="Arial" w:eastAsia="Times New Roman" w:hAnsi="Arial" w:cs="Arial"/>
        </w:rPr>
      </w:pPr>
      <w:r>
        <w:rPr>
          <w:rFonts w:ascii="Arial" w:eastAsia="Times New Roman" w:hAnsi="Arial" w:cs="Arial"/>
        </w:rPr>
        <w:t>1  </w:t>
      </w:r>
      <w:r>
        <w:rPr>
          <w:rFonts w:ascii="Arial" w:eastAsia="Times New Roman" w:hAnsi="Arial" w:cs="Arial"/>
        </w:rPr>
        <w:t>The vision: from trial-and-error to treasure maps for memristive materials</w:t>
      </w:r>
    </w:p>
    <w:p w14:paraId="56F14697" w14:textId="77777777" w:rsidR="002902C7" w:rsidRDefault="002902C7">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012DFC8E" w14:textId="77777777" w:rsidR="002902C7" w:rsidRDefault="002902C7">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quantified by the charge-transfer energy and the O-2p band centre, and that this descriptor predicts catalytic activity across whole material families with R² &gt; 0.8 [7, </w:t>
      </w:r>
      <w:r>
        <w:rPr>
          <w:rFonts w:ascii="Arial" w:hAnsi="Arial" w:cs="Arial"/>
          <w:sz w:val="21"/>
          <w:szCs w:val="21"/>
        </w:rPr>
        <w:t xml:space="preserve">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C3E8410" w14:textId="77777777" w:rsidR="002902C7" w:rsidRDefault="002902C7">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w:t>
      </w:r>
      <w:r>
        <w:rPr>
          <w:rFonts w:ascii="Arial" w:hAnsi="Arial" w:cs="Arial"/>
          <w:sz w:val="21"/>
          <w:szCs w:val="21"/>
        </w:rPr>
        <w:t xml:space="preserve">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55D47A8" w14:textId="77777777" w:rsidR="002902C7" w:rsidRDefault="002902C7">
      <w:pPr>
        <w:pStyle w:val="Heading2"/>
        <w:rPr>
          <w:rFonts w:ascii="Arial" w:eastAsia="Times New Roman" w:hAnsi="Arial" w:cs="Arial"/>
        </w:rPr>
      </w:pPr>
      <w:r>
        <w:rPr>
          <w:rFonts w:ascii="Arial" w:eastAsia="Times New Roman" w:hAnsi="Arial" w:cs="Arial"/>
        </w:rPr>
        <w:t>2  Why this is ground-breaking – and why it has not been done</w:t>
      </w:r>
    </w:p>
    <w:p w14:paraId="4692E846" w14:textId="77777777" w:rsidR="002902C7" w:rsidRDefault="002902C7">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w:t>
      </w:r>
      <w:r>
        <w:rPr>
          <w:rFonts w:ascii="Arial" w:hAnsi="Arial" w:cs="Arial"/>
          <w:sz w:val="21"/>
          <w:szCs w:val="21"/>
        </w:rPr>
        <w:t xml:space="preserve">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My literature analysis identifies only a handful of composition series in the entire perovskite ReRAM literature [20–22, 30] – </w:t>
      </w:r>
      <w:r>
        <w:rPr>
          <w:rFonts w:ascii="Arial" w:hAnsi="Arial" w:cs="Arial"/>
          <w:sz w:val="21"/>
          <w:szCs w:val="21"/>
        </w:rPr>
        <w:t>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w:t>
      </w:r>
      <w:r>
        <w:rPr>
          <w:rFonts w:ascii="Arial" w:hAnsi="Arial" w:cs="Arial"/>
          <w:sz w:val="21"/>
          <w:szCs w:val="21"/>
        </w:rPr>
        <w:t>a combination that established groups assemble only piecewise. As an early-career PI trained in exactly this combination, I can build the missing bridge in one coherent programme.</w:t>
      </w:r>
    </w:p>
    <w:p w14:paraId="0CE5A305" w14:textId="77777777" w:rsidR="002902C7" w:rsidRDefault="002902C7">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w:t>
      </w:r>
      <w:r>
        <w:rPr>
          <w:rFonts w:ascii="Arial" w:hAnsi="Arial" w:cs="Arial"/>
          <w:sz w:val="21"/>
          <w:szCs w:val="21"/>
        </w:rPr>
        <w:t xml:space="preserve">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w:t>
      </w:r>
      <w:r>
        <w:rPr>
          <w:rFonts w:ascii="Arial" w:hAnsi="Arial" w:cs="Arial"/>
          <w:sz w:val="21"/>
          <w:szCs w:val="21"/>
        </w:rPr>
        <w:t>≈</w:t>
      </w:r>
      <w:r>
        <w:rPr>
          <w:rFonts w:ascii="Arial" w:hAnsi="Arial" w:cs="Arial"/>
          <w:sz w:val="21"/>
          <w:szCs w:val="21"/>
        </w:rPr>
        <w:t xml:space="preserve">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 deliberately the mechanism-stable manganite family – </w:t>
      </w:r>
      <w:r>
        <w:rPr>
          <w:rFonts w:ascii="Arial" w:hAnsi="Arial" w:cs="Arial"/>
          <w:sz w:val="21"/>
          <w:szCs w:val="21"/>
        </w:rPr>
        <w:t>with an experimentally measured XAS covalency scale, tested directly against the only published composition-resolved switching dataset [20] [insert one-sentence headline result once available; manuscript in preparation, P1]. This is the proof of concept that the descriptor axis of the map can be measured, not merely computed.</w:t>
      </w:r>
    </w:p>
    <w:p w14:paraId="60ABA545" w14:textId="77777777" w:rsidR="002902C7" w:rsidRDefault="002902C7">
      <w:pPr>
        <w:pStyle w:val="Heading2"/>
        <w:rPr>
          <w:rFonts w:ascii="Arial" w:eastAsia="Times New Roman" w:hAnsi="Arial" w:cs="Arial"/>
        </w:rPr>
      </w:pPr>
      <w:r>
        <w:rPr>
          <w:rFonts w:ascii="Arial" w:eastAsia="Times New Roman" w:hAnsi="Arial" w:cs="Arial"/>
        </w:rPr>
        <w:t>3  Objectives</w:t>
      </w:r>
    </w:p>
    <w:p w14:paraId="33F03995" w14:textId="77777777" w:rsidR="002902C7" w:rsidRDefault="002902C7">
      <w:pPr>
        <w:pStyle w:val="NormalWeb"/>
        <w:spacing w:after="160"/>
        <w:divId w:val="1711765981"/>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w:t>
      </w:r>
      <w:r>
        <w:rPr>
          <w:rFonts w:ascii="Arial" w:hAnsi="Arial" w:cs="Arial"/>
          <w:sz w:val="21"/>
          <w:szCs w:val="21"/>
        </w:rPr>
        <w:t>≈</w:t>
      </w:r>
      <w:r>
        <w:rPr>
          <w:rFonts w:ascii="Arial" w:hAnsi="Arial" w:cs="Arial"/>
          <w:sz w:val="21"/>
          <w:szCs w:val="21"/>
        </w:rPr>
        <w:t xml:space="preserve">4 eV </w:t>
      </w:r>
      <w:r>
        <w:rPr>
          <w:rFonts w:ascii="Arial" w:hAnsi="Arial" w:cs="Arial"/>
          <w:sz w:val="21"/>
          <w:szCs w:val="21"/>
        </w:rPr>
        <w:t>→</w:t>
      </w:r>
      <w:r>
        <w:rPr>
          <w:rFonts w:ascii="Arial" w:hAnsi="Arial" w:cs="Arial"/>
          <w:sz w:val="21"/>
          <w:szCs w:val="21"/>
        </w:rPr>
        <w:t xml:space="preserve"> &lt;1 eV [13]),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 the descriptor methodology was de-risked on the manganite family,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1DDEA17" w14:textId="77777777" w:rsidR="002902C7" w:rsidRDefault="002902C7">
      <w:pPr>
        <w:pStyle w:val="NormalWeb"/>
        <w:spacing w:after="160"/>
        <w:divId w:val="1355763850"/>
        <w:rPr>
          <w:rFonts w:ascii="Arial" w:hAnsi="Arial" w:cs="Arial"/>
          <w:sz w:val="21"/>
          <w:szCs w:val="21"/>
        </w:rPr>
      </w:pPr>
      <w:r>
        <w:rPr>
          <w:rFonts w:ascii="Arial" w:hAnsi="Arial" w:cs="Arial"/>
          <w:b/>
          <w:bCs/>
          <w:sz w:val="21"/>
          <w:szCs w:val="21"/>
        </w:rPr>
        <w:t xml:space="preserve">O2 – </w:t>
      </w:r>
      <w:r>
        <w:rPr>
          <w:rFonts w:ascii="Arial" w:hAnsi="Arial" w:cs="Arial"/>
          <w:b/>
          <w:bCs/>
          <w:sz w:val="21"/>
          <w:szCs w:val="21"/>
        </w:rPr>
        <w:t>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596A297A" w14:textId="77777777" w:rsidR="002902C7" w:rsidRDefault="002902C7">
      <w:pPr>
        <w:pStyle w:val="NormalWeb"/>
        <w:spacing w:after="160"/>
        <w:divId w:val="141709418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w:t>
      </w:r>
      <w:r>
        <w:rPr>
          <w:rFonts w:ascii="Arial" w:hAnsi="Arial" w:cs="Arial"/>
          <w:sz w:val="21"/>
          <w:szCs w:val="21"/>
        </w:rPr>
        <w:t>≥</w:t>
      </w:r>
      <w:r>
        <w:rPr>
          <w:rFonts w:ascii="Arial" w:hAnsi="Arial" w:cs="Arial"/>
          <w:sz w:val="21"/>
          <w:szCs w:val="21"/>
        </w:rPr>
        <w:t>30 devices per composition, and test the two central hypotheses: (H1) switching metrics scale with the covalency descriptor; (H2) a “Goldilocks” optimum exists where the usable window is maximal between the hard-to-form and the unstable-state regimes.</w:t>
      </w:r>
    </w:p>
    <w:p w14:paraId="58C62534" w14:textId="77777777" w:rsidR="002902C7" w:rsidRDefault="002902C7">
      <w:pPr>
        <w:pStyle w:val="NormalWeb"/>
        <w:spacing w:after="160"/>
        <w:divId w:val="135889327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448E2DB5" w14:textId="77777777" w:rsidR="002902C7" w:rsidRDefault="002902C7">
      <w:pPr>
        <w:pStyle w:val="Heading2"/>
        <w:rPr>
          <w:rFonts w:ascii="Arial" w:eastAsia="Times New Roman" w:hAnsi="Arial" w:cs="Arial"/>
        </w:rPr>
      </w:pPr>
      <w:r>
        <w:rPr>
          <w:rFonts w:ascii="Arial" w:eastAsia="Times New Roman" w:hAnsi="Arial" w:cs="Arial"/>
        </w:rPr>
        <w:t>4  Approach and why I will succeed</w:t>
      </w:r>
    </w:p>
    <w:p w14:paraId="1D7C4F39" w14:textId="77777777" w:rsidR="002902C7" w:rsidRDefault="002902C7">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w:t>
      </w:r>
      <w:r>
        <w:rPr>
          <w:rFonts w:ascii="Arial" w:hAnsi="Arial" w:cs="Arial"/>
          <w:sz w:val="21"/>
          <w:szCs w:val="21"/>
        </w:rPr>
        <w:t>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4F808B6" w14:textId="77777777" w:rsidR="002902C7" w:rsidRDefault="002902C7">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w:t>
      </w:r>
      <w:r>
        <w:rPr>
          <w:rFonts w:ascii="Arial" w:hAnsi="Arial" w:cs="Arial"/>
          <w:sz w:val="21"/>
          <w:szCs w:val="21"/>
        </w:rPr>
        <w:t>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w:t>
      </w:r>
      <w:r>
        <w:rPr>
          <w:rFonts w:ascii="Arial" w:hAnsi="Arial" w:cs="Arial"/>
          <w:sz w:val="21"/>
          <w:szCs w:val="21"/>
        </w:rPr>
        <w:t>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pilot series and established the O-K pre-edge covalency scale across it at SSRL, correlated against the published switching-vs-composition benchmark [20]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730122" w14:textId="77777777" w:rsidR="002902C7" w:rsidRDefault="002902C7">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w:t>
      </w:r>
      <w:r>
        <w:rPr>
          <w:rFonts w:ascii="Arial" w:hAnsi="Arial" w:cs="Arial"/>
          <w:sz w:val="21"/>
          <w:szCs w:val="21"/>
        </w:rPr>
        <w:t xml:space="preserve">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w:t>
      </w:r>
      <w:r>
        <w:rPr>
          <w:rFonts w:ascii="Arial" w:hAnsi="Arial" w:cs="Arial"/>
          <w:sz w:val="21"/>
          <w:szCs w:val="21"/>
        </w:rPr>
        <w:t>each series and each descriptor axis has stand-alone publication value; if H1 fails in one family, the cross-family comparison (Fe vs. Mn vs. Co) localises why, which is itself a discovery about the limits of descriptor physics (full risk table in B2).</w:t>
      </w:r>
    </w:p>
    <w:p w14:paraId="28FF7F72" w14:textId="77777777" w:rsidR="002902C7" w:rsidRDefault="002902C7">
      <w:pPr>
        <w:pStyle w:val="Heading2"/>
        <w:rPr>
          <w:rFonts w:ascii="Arial" w:eastAsia="Times New Roman" w:hAnsi="Arial" w:cs="Arial"/>
        </w:rPr>
      </w:pPr>
      <w:r>
        <w:rPr>
          <w:rFonts w:ascii="Arial" w:eastAsia="Times New Roman" w:hAnsi="Arial" w:cs="Arial"/>
        </w:rPr>
        <w:t>References (Part B1)</w:t>
      </w:r>
    </w:p>
    <w:p w14:paraId="6CC9094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 R. Waser, M. Aono, Nature Materials 6, 833–840 (2007).</w:t>
      </w:r>
    </w:p>
    <w:p w14:paraId="777528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 R. Dittmann, S. Menzel, R. Waser, Advances in Physics 70, 155–349 (2021).</w:t>
      </w:r>
    </w:p>
    <w:p w14:paraId="64AB3C2D" w14:textId="77777777" w:rsidR="002902C7" w:rsidRDefault="002902C7">
      <w:pPr>
        <w:spacing w:after="60"/>
        <w:ind w:hanging="480"/>
        <w:divId w:val="1600261410"/>
        <w:rPr>
          <w:rFonts w:ascii="Arial" w:hAnsi="Arial" w:cs="Arial"/>
          <w:sz w:val="18"/>
          <w:szCs w:val="18"/>
        </w:rPr>
      </w:pPr>
      <w:r>
        <w:rPr>
          <w:rFonts w:ascii="Arial" w:hAnsi="Arial" w:cs="Arial"/>
          <w:sz w:val="18"/>
          <w:szCs w:val="18"/>
        </w:rPr>
        <w:t>[3] J. J. Yang, D. B. Strukov, D. R. Stewart, Nature Nanotechnology 8, 13–24 (2013).</w:t>
      </w:r>
    </w:p>
    <w:p w14:paraId="1830865B" w14:textId="77777777" w:rsidR="002902C7" w:rsidRDefault="002902C7">
      <w:pPr>
        <w:spacing w:after="60"/>
        <w:ind w:hanging="480"/>
        <w:divId w:val="160026141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89F1C24" w14:textId="77777777" w:rsidR="002902C7" w:rsidRDefault="002902C7">
      <w:pPr>
        <w:spacing w:after="60"/>
        <w:ind w:hanging="480"/>
        <w:divId w:val="1600261410"/>
        <w:rPr>
          <w:rFonts w:ascii="Arial" w:hAnsi="Arial" w:cs="Arial"/>
          <w:sz w:val="18"/>
          <w:szCs w:val="18"/>
        </w:rPr>
      </w:pPr>
      <w:r>
        <w:rPr>
          <w:rFonts w:ascii="Arial" w:hAnsi="Arial" w:cs="Arial"/>
          <w:sz w:val="18"/>
          <w:szCs w:val="18"/>
        </w:rPr>
        <w:t>[5] C. Baeumer et al., Nature Communications 6, 8610 (2015).</w:t>
      </w:r>
    </w:p>
    <w:p w14:paraId="2B0744B5" w14:textId="77777777" w:rsidR="002902C7" w:rsidRDefault="002902C7">
      <w:pPr>
        <w:spacing w:after="60"/>
        <w:ind w:hanging="480"/>
        <w:divId w:val="1600261410"/>
        <w:rPr>
          <w:rFonts w:ascii="Arial" w:hAnsi="Arial" w:cs="Arial"/>
          <w:sz w:val="18"/>
          <w:szCs w:val="18"/>
        </w:rPr>
      </w:pPr>
      <w:r>
        <w:rPr>
          <w:rFonts w:ascii="Arial" w:hAnsi="Arial" w:cs="Arial"/>
          <w:sz w:val="18"/>
          <w:szCs w:val="18"/>
        </w:rPr>
        <w:t>[6] C. Baeumer et al., Nature Communications 7, 12398 (2016).</w:t>
      </w:r>
    </w:p>
    <w:p w14:paraId="50E38D00" w14:textId="77777777" w:rsidR="002902C7" w:rsidRDefault="002902C7">
      <w:pPr>
        <w:spacing w:after="60"/>
        <w:ind w:hanging="480"/>
        <w:divId w:val="160026141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4A50A26" w14:textId="77777777" w:rsidR="002902C7" w:rsidRDefault="002902C7">
      <w:pPr>
        <w:spacing w:after="60"/>
        <w:ind w:hanging="480"/>
        <w:divId w:val="1600261410"/>
        <w:rPr>
          <w:rFonts w:ascii="Arial" w:hAnsi="Arial" w:cs="Arial"/>
          <w:sz w:val="18"/>
          <w:szCs w:val="18"/>
        </w:rPr>
      </w:pPr>
      <w:r>
        <w:rPr>
          <w:rFonts w:ascii="Arial" w:hAnsi="Arial" w:cs="Arial"/>
          <w:sz w:val="18"/>
          <w:szCs w:val="18"/>
        </w:rPr>
        <w:t>[8] R. Jacobs, J. Hwang, Y. Shao-Horn, D. Morgan, Chemistry of Materials 31, 785–797 (2019).</w:t>
      </w:r>
    </w:p>
    <w:p w14:paraId="0A8322C8" w14:textId="77777777" w:rsidR="002902C7" w:rsidRDefault="002902C7">
      <w:pPr>
        <w:spacing w:after="60"/>
        <w:ind w:hanging="480"/>
        <w:divId w:val="1600261410"/>
        <w:rPr>
          <w:rFonts w:ascii="Arial" w:hAnsi="Arial" w:cs="Arial"/>
          <w:sz w:val="18"/>
          <w:szCs w:val="18"/>
        </w:rPr>
      </w:pPr>
      <w:r>
        <w:rPr>
          <w:rFonts w:ascii="Arial" w:hAnsi="Arial" w:cs="Arial"/>
          <w:sz w:val="18"/>
          <w:szCs w:val="18"/>
        </w:rPr>
        <w:t>[9] A. M. Deml, V. Stevanović</w:t>
      </w:r>
      <w:r>
        <w:rPr>
          <w:rFonts w:ascii="Arial" w:hAnsi="Arial" w:cs="Arial"/>
          <w:sz w:val="18"/>
          <w:szCs w:val="18"/>
        </w:rPr>
        <w:t>, C. L. Muhich, C. B. Musgrave, R. O’Hayre, Energy &amp; Environmental Science 7, 1996–2004 (2014).</w:t>
      </w:r>
    </w:p>
    <w:p w14:paraId="63DA17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0BF3A4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[11] A. A. Emery, C. Wolverton, Scientific Data 4, 170153 (2017).</w:t>
      </w:r>
    </w:p>
    <w:p w14:paraId="032B9A6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[12] B. Baldassarri et al., Chemistry of Materials 35, 10619–10634 (2023).</w:t>
      </w:r>
    </w:p>
    <w:p w14:paraId="3ACFF8E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78C7D5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[14] M. Abbate et al., Physical Review B 46, 4511–4519 (1992).</w:t>
      </w:r>
    </w:p>
    <w:p w14:paraId="43B0CDF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[15] J. Suntivich et al., Journal of Physical Chemistry C 118, 1856–1863 (2014).</w:t>
      </w:r>
    </w:p>
    <w:p w14:paraId="70DA5D6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[16] F. Frati, M. O. J. Y. Hunault, F. M. F. de Groot, Chemical Reviews 120, 4056–4110 (2020).</w:t>
      </w:r>
    </w:p>
    <w:p w14:paraId="043D84F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[17] M. Wuttig et al., Advanced Materials 35, 2208485 (2023).</w:t>
      </w:r>
    </w:p>
    <w:p w14:paraId="4721F3A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[18] R. Schmitt, J. Spring, R. Korobko, J. L. M. Rupp, ACS Nano 11, 8881–8891 (2017).</w:t>
      </w:r>
    </w:p>
    <w:p w14:paraId="7C8C5EC5" w14:textId="77777777" w:rsidR="002902C7" w:rsidRDefault="002902C7">
      <w:pPr>
        <w:spacing w:after="60"/>
        <w:ind w:hanging="480"/>
        <w:divId w:val="1600261410"/>
        <w:rPr>
          <w:rFonts w:ascii="Arial" w:hAnsi="Arial" w:cs="Arial"/>
          <w:sz w:val="18"/>
          <w:szCs w:val="18"/>
        </w:rPr>
      </w:pPr>
      <w:r>
        <w:rPr>
          <w:rFonts w:ascii="Arial" w:hAnsi="Arial" w:cs="Arial"/>
          <w:sz w:val="18"/>
          <w:szCs w:val="18"/>
        </w:rPr>
        <w:t>[19] H. Jiang, D. A. Stewart, ACS Applied Materials &amp; Interfaces 9, 16296–16304 (2017).</w:t>
      </w:r>
    </w:p>
    <w:p w14:paraId="301CB2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[20] S. Asanuma, H. Akoh, H. Yamada, A. Sawa, Physical Review B 80, 235113 (2009).</w:t>
      </w:r>
    </w:p>
    <w:p w14:paraId="57F36AEE" w14:textId="77777777" w:rsidR="002902C7" w:rsidRDefault="002902C7">
      <w:pPr>
        <w:spacing w:after="60"/>
        <w:ind w:hanging="480"/>
        <w:divId w:val="160026141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305A21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[22] E. Mikheev, J. Hwang, A. P. Kajdos, A. J. Hauser, S. Stemmer, Scientific Reports 5, 11079 (2015).</w:t>
      </w:r>
    </w:p>
    <w:p w14:paraId="0CCF7A2F" w14:textId="77777777" w:rsidR="002902C7" w:rsidRDefault="002902C7">
      <w:pPr>
        <w:spacing w:after="60"/>
        <w:ind w:hanging="480"/>
        <w:divId w:val="1600261410"/>
        <w:rPr>
          <w:rFonts w:ascii="Arial" w:hAnsi="Arial" w:cs="Arial"/>
          <w:sz w:val="18"/>
          <w:szCs w:val="18"/>
        </w:rPr>
      </w:pPr>
      <w:r>
        <w:rPr>
          <w:rFonts w:ascii="Arial" w:hAnsi="Arial" w:cs="Arial"/>
          <w:sz w:val="18"/>
          <w:szCs w:val="18"/>
        </w:rPr>
        <w:t>[23] V. R. Nallagatla et al., Advanced Materials 31, 1903391 (2019).</w:t>
      </w:r>
    </w:p>
    <w:p w14:paraId="0E8F263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[24] H. Tian et al., Advanced Materials 31, 1903679 (2019).</w:t>
      </w:r>
    </w:p>
    <w:p w14:paraId="24B97D8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[25] X. Mou et al., Science Advances 7, eabh0648 (2021).</w:t>
      </w:r>
    </w:p>
    <w:p w14:paraId="7B112EFB" w14:textId="77777777" w:rsidR="002902C7" w:rsidRDefault="002902C7">
      <w:pPr>
        <w:spacing w:after="60"/>
        <w:ind w:hanging="480"/>
        <w:divId w:val="1600261410"/>
        <w:rPr>
          <w:rFonts w:ascii="Arial" w:hAnsi="Arial" w:cs="Arial"/>
          <w:sz w:val="18"/>
          <w:szCs w:val="18"/>
        </w:rPr>
      </w:pPr>
      <w:r>
        <w:rPr>
          <w:rFonts w:ascii="Arial" w:hAnsi="Arial" w:cs="Arial"/>
          <w:sz w:val="18"/>
          <w:szCs w:val="18"/>
        </w:rPr>
        <w:t>[26] N. Nizet et al., Applied Physics Reviews 11, 041426 (2024).</w:t>
      </w:r>
    </w:p>
    <w:p w14:paraId="5D4440F4" w14:textId="77777777" w:rsidR="002902C7" w:rsidRDefault="002902C7">
      <w:pPr>
        <w:spacing w:after="60"/>
        <w:ind w:hanging="480"/>
        <w:divId w:val="1600261410"/>
        <w:rPr>
          <w:rFonts w:ascii="Arial" w:hAnsi="Arial" w:cs="Arial"/>
          <w:sz w:val="18"/>
          <w:szCs w:val="18"/>
        </w:rPr>
      </w:pPr>
      <w:r>
        <w:rPr>
          <w:rFonts w:ascii="Arial" w:hAnsi="Arial" w:cs="Arial"/>
          <w:sz w:val="18"/>
          <w:szCs w:val="18"/>
        </w:rPr>
        <w:t>[27] U. Aschauer, R. Pfenninger, S. M. Selbach, T. Grande, N. A. Spaldin, Physical Review B 88, 054111 (2013).</w:t>
      </w:r>
    </w:p>
    <w:p w14:paraId="1E7CAE87" w14:textId="77777777" w:rsidR="002902C7" w:rsidRDefault="002902C7">
      <w:pPr>
        <w:spacing w:after="60"/>
        <w:ind w:hanging="480"/>
        <w:divId w:val="1600261410"/>
        <w:rPr>
          <w:rFonts w:ascii="Arial" w:hAnsi="Arial" w:cs="Arial"/>
          <w:sz w:val="18"/>
          <w:szCs w:val="18"/>
        </w:rPr>
      </w:pPr>
      <w:r>
        <w:rPr>
          <w:rFonts w:ascii="Arial" w:hAnsi="Arial" w:cs="Arial"/>
          <w:sz w:val="18"/>
          <w:szCs w:val="18"/>
        </w:rPr>
        <w:t>[28] M. Kubicek et al., ACS Nano 7, 3276–3286 (2013).</w:t>
      </w:r>
    </w:p>
    <w:p w14:paraId="30403B60" w14:textId="77777777" w:rsidR="002902C7" w:rsidRDefault="002902C7">
      <w:pPr>
        <w:spacing w:after="60"/>
        <w:ind w:hanging="480"/>
        <w:divId w:val="1600261410"/>
        <w:rPr>
          <w:rFonts w:ascii="Arial" w:hAnsi="Arial" w:cs="Arial"/>
          <w:sz w:val="18"/>
          <w:szCs w:val="18"/>
        </w:rPr>
      </w:pPr>
      <w:r>
        <w:rPr>
          <w:rFonts w:ascii="Arial" w:hAnsi="Arial" w:cs="Arial"/>
          <w:sz w:val="18"/>
          <w:szCs w:val="18"/>
        </w:rPr>
        <w:t>[29] G. J. H. M. Rijnders, G. Koster, D. H. A. Blank, H. Rogalla, Applied Physics Letters 70, 1888–1890 (1997).</w:t>
      </w:r>
    </w:p>
    <w:p w14:paraId="2B328C8C" w14:textId="77777777" w:rsidR="002902C7" w:rsidRDefault="002902C7">
      <w:pPr>
        <w:spacing w:after="60"/>
        <w:ind w:hanging="480"/>
        <w:divId w:val="1600261410"/>
        <w:rPr>
          <w:rFonts w:ascii="Arial" w:hAnsi="Arial" w:cs="Arial"/>
          <w:sz w:val="18"/>
          <w:szCs w:val="18"/>
        </w:rPr>
      </w:pPr>
      <w:r>
        <w:rPr>
          <w:rFonts w:ascii="Arial" w:hAnsi="Arial" w:cs="Arial"/>
          <w:sz w:val="18"/>
          <w:szCs w:val="18"/>
        </w:rPr>
        <w:t>[30] S. G. Choi, H.-S. Lee, H. Choi, S.-W. Chung, H.-H. Park, Thin Solid Films 529, 352–355 (2013).</w:t>
      </w:r>
    </w:p>
    <w:p w14:paraId="4D4692F4" w14:textId="77777777" w:rsidR="002902C7" w:rsidRDefault="002902C7">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780680B" w14:textId="77777777" w:rsidR="002902C7" w:rsidRDefault="002902C7">
      <w:pPr>
        <w:pStyle w:val="Heading2"/>
        <w:rPr>
          <w:rFonts w:ascii="Arial" w:eastAsia="Times New Roman" w:hAnsi="Arial" w:cs="Arial"/>
        </w:rPr>
      </w:pPr>
      <w:r>
        <w:rPr>
          <w:rFonts w:ascii="Arial" w:eastAsia="Times New Roman" w:hAnsi="Arial" w:cs="Arial"/>
        </w:rPr>
        <w:t>Personal details</w:t>
      </w:r>
    </w:p>
    <w:p w14:paraId="042439D4" w14:textId="77777777" w:rsidR="002902C7" w:rsidRDefault="002902C7">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CCB2698" w14:textId="77777777" w:rsidR="002902C7" w:rsidRDefault="002902C7">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9227C26"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8949859"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7A53D04"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4CE37A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0192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A2FA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Pr</w:t>
            </w:r>
            <w:r>
              <w:rPr>
                <w:rFonts w:ascii="Arial" w:eastAsia="Times New Roman" w:hAnsi="Arial" w:cs="Arial"/>
                <w:sz w:val="19"/>
                <w:szCs w:val="19"/>
                <w:vertAlign w:val="subscript"/>
              </w:rPr>
              <w:t>1-x</w:t>
            </w:r>
            <w:r>
              <w:rPr>
                <w:rFonts w:ascii="Arial" w:eastAsia="Times New Roman" w:hAnsi="Arial" w:cs="Arial"/>
                <w:sz w:val="19"/>
                <w:szCs w:val="19"/>
              </w:rPr>
              <w:t>Ca</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w:t>
            </w:r>
            <w:r>
              <w:rPr>
                <w:rFonts w:ascii="Arial" w:eastAsia="Times New Roman" w:hAnsi="Arial" w:cs="Arial"/>
                <w:sz w:val="19"/>
                <w:szCs w:val="19"/>
              </w:rPr>
              <w:t>pilot series, XAS covalency scale at SSRL [manuscript in preparation, P1]</w:t>
            </w:r>
          </w:p>
        </w:tc>
      </w:tr>
      <w:tr w:rsidR="00000000" w14:paraId="1462395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CF2BA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99B9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BF485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D5C8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4405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w:t>
            </w:r>
            <w:r>
              <w:rPr>
                <w:rFonts w:ascii="Arial" w:eastAsia="Times New Roman" w:hAnsi="Arial" w:cs="Arial"/>
                <w:sz w:val="19"/>
                <w:szCs w:val="19"/>
              </w:rPr>
              <w:t xml:space="preserve"> [defence date to be inserted]</w:t>
            </w:r>
          </w:p>
        </w:tc>
      </w:tr>
      <w:tr w:rsidR="00000000" w14:paraId="15A0F0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C6EF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29C61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0C258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4A003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608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AC90002" w14:textId="77777777" w:rsidR="002902C7" w:rsidRDefault="002902C7">
      <w:pPr>
        <w:pStyle w:val="Heading2"/>
        <w:rPr>
          <w:rFonts w:ascii="Arial" w:eastAsia="Times New Roman" w:hAnsi="Arial" w:cs="Arial"/>
        </w:rPr>
      </w:pPr>
      <w:r>
        <w:rPr>
          <w:rFonts w:ascii="Arial" w:eastAsia="Times New Roman" w:hAnsi="Arial" w:cs="Arial"/>
        </w:rPr>
        <w:t>Track record</w:t>
      </w:r>
    </w:p>
    <w:p w14:paraId="3C1235DA" w14:textId="77777777" w:rsidR="002902C7" w:rsidRDefault="002902C7">
      <w:pPr>
        <w:pStyle w:val="NormalWeb"/>
        <w:rPr>
          <w:rFonts w:ascii="Arial" w:hAnsi="Arial" w:cs="Arial"/>
          <w:sz w:val="21"/>
          <w:szCs w:val="21"/>
        </w:rPr>
      </w:pPr>
      <w:r>
        <w:rPr>
          <w:rFonts w:ascii="Arial" w:hAnsi="Arial" w:cs="Arial"/>
          <w:b/>
          <w:bCs/>
          <w:sz w:val="21"/>
          <w:szCs w:val="21"/>
        </w:rPr>
        <w:t>Selected publications:</w:t>
      </w:r>
    </w:p>
    <w:p w14:paraId="21A8C00B" w14:textId="77777777" w:rsidR="002902C7" w:rsidRDefault="002902C7">
      <w:pPr>
        <w:spacing w:after="60"/>
        <w:ind w:hanging="480"/>
        <w:divId w:val="705908417"/>
        <w:rPr>
          <w:rFonts w:ascii="Arial" w:hAnsi="Arial" w:cs="Arial"/>
          <w:sz w:val="18"/>
          <w:szCs w:val="18"/>
        </w:rPr>
      </w:pPr>
      <w:r>
        <w:rPr>
          <w:rFonts w:ascii="Arial" w:hAnsi="Arial" w:cs="Arial"/>
          <w:sz w:val="18"/>
          <w:szCs w:val="18"/>
        </w:rPr>
        <w:t>P1.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(from the Feodor Lynen fellowship; insert status – in preparation / submitted / published – at submission time).</w:t>
      </w:r>
    </w:p>
    <w:p w14:paraId="61DC2349" w14:textId="77777777" w:rsidR="002902C7" w:rsidRDefault="002902C7">
      <w:pPr>
        <w:spacing w:after="60"/>
        <w:ind w:hanging="480"/>
        <w:divId w:val="70590841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54297B0" w14:textId="77777777" w:rsidR="002902C7" w:rsidRDefault="002902C7">
      <w:pPr>
        <w:spacing w:after="60"/>
        <w:ind w:hanging="480"/>
        <w:divId w:val="70590841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w:t>
      </w:r>
      <w:r>
        <w:rPr>
          <w:rFonts w:ascii="Arial" w:hAnsi="Arial" w:cs="Arial"/>
          <w:sz w:val="18"/>
          <w:szCs w:val="18"/>
        </w:rPr>
        <w:t>first-author comprehensive review of the field.</w:t>
      </w:r>
    </w:p>
    <w:p w14:paraId="76C2118D" w14:textId="77777777" w:rsidR="002902C7" w:rsidRDefault="002902C7">
      <w:pPr>
        <w:spacing w:after="60"/>
        <w:ind w:hanging="480"/>
        <w:divId w:val="70590841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E284D87" w14:textId="77777777" w:rsidR="002902C7" w:rsidRDefault="002902C7">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3B32FEE6" w14:textId="77777777" w:rsidR="002902C7" w:rsidRDefault="002902C7">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E6982A4" w14:textId="77777777" w:rsidR="002902C7" w:rsidRDefault="002902C7">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0C59330" w14:textId="77777777" w:rsidR="002902C7" w:rsidRDefault="002902C7">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w:t>
      </w:r>
      <w:r>
        <w:rPr>
          <w:rFonts w:ascii="Arial" w:hAnsi="Arial" w:cs="Arial"/>
          <w:sz w:val="21"/>
          <w:szCs w:val="21"/>
        </w:rPr>
        <w:t>present); laboratory course tutor, RWTH Aachen (2020–2025).</w:t>
      </w:r>
    </w:p>
    <w:p w14:paraId="56AC6876" w14:textId="77777777" w:rsidR="002902C7" w:rsidRDefault="002902C7">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305068" w14:textId="77777777" w:rsidR="002902C7" w:rsidRDefault="002902C7">
      <w:pPr>
        <w:pStyle w:val="Heading1"/>
        <w:pageBreakBefore/>
        <w:rPr>
          <w:rFonts w:ascii="Arial" w:eastAsia="Times New Roman" w:hAnsi="Arial" w:cs="Arial"/>
        </w:rPr>
      </w:pPr>
      <w:r>
        <w:rPr>
          <w:rFonts w:ascii="Arial" w:eastAsia="Times New Roman" w:hAnsi="Arial" w:cs="Arial"/>
        </w:rPr>
        <w:t>Part B2 – The Project Implementation (max. 7 pages)</w:t>
      </w:r>
    </w:p>
    <w:p w14:paraId="6B8981F1" w14:textId="77777777" w:rsidR="002902C7" w:rsidRDefault="002902C7">
      <w:pPr>
        <w:pStyle w:val="Heading2"/>
        <w:rPr>
          <w:rFonts w:ascii="Arial" w:eastAsia="Times New Roman" w:hAnsi="Arial" w:cs="Arial"/>
        </w:rPr>
      </w:pPr>
      <w:r>
        <w:rPr>
          <w:rFonts w:ascii="Arial" w:eastAsia="Times New Roman" w:hAnsi="Arial" w:cs="Arial"/>
        </w:rPr>
        <w:t>1  Work plan</w:t>
      </w:r>
    </w:p>
    <w:p w14:paraId="154AE46D" w14:textId="77777777" w:rsidR="002902C7" w:rsidRDefault="002902C7">
      <w:pPr>
        <w:pStyle w:val="NormalWeb"/>
        <w:rPr>
          <w:rFonts w:ascii="Arial" w:hAnsi="Arial" w:cs="Arial"/>
          <w:sz w:val="21"/>
          <w:szCs w:val="21"/>
        </w:rPr>
      </w:pPr>
      <w:r>
        <w:rPr>
          <w:rFonts w:ascii="Arial" w:hAnsi="Arial" w:cs="Arial"/>
          <w:sz w:val="21"/>
          <w:szCs w:val="21"/>
        </w:rPr>
        <w:t>The five work packages implement objectives O1–</w:t>
      </w:r>
      <w:r>
        <w:rPr>
          <w:rFonts w:ascii="Arial" w:hAnsi="Arial" w:cs="Arial"/>
          <w:sz w:val="21"/>
          <w:szCs w:val="21"/>
        </w:rPr>
        <w:t>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53B0CAEE"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29F665"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DE87DC"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50EF6D7"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A20498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201787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5E9F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DC34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CA7CF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93D0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41BE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BB84B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DEDD5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DDED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E8EF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5707E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95E0C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DDB3E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4B447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8E4EC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A9BEB2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887A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8540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B71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A110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4E2F9D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98CDB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18FF8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0FEFA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68CA9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13A8D20B" w14:textId="77777777" w:rsidR="002902C7" w:rsidRDefault="002902C7">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4E8EAD10" w14:textId="77777777" w:rsidR="002902C7" w:rsidRDefault="002902C7">
      <w:pPr>
        <w:pStyle w:val="Heading2"/>
        <w:rPr>
          <w:rFonts w:ascii="Arial" w:eastAsia="Times New Roman" w:hAnsi="Arial" w:cs="Arial"/>
        </w:rPr>
      </w:pPr>
      <w:r>
        <w:rPr>
          <w:rFonts w:ascii="Arial" w:eastAsia="Times New Roman" w:hAnsi="Arial" w:cs="Arial"/>
        </w:rPr>
        <w:t>2  </w:t>
      </w:r>
      <w:r>
        <w:rPr>
          <w:rFonts w:ascii="Arial" w:eastAsia="Times New Roman" w:hAnsi="Arial" w:cs="Arial"/>
        </w:rPr>
        <w:t>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A9922B6"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2921A13"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FF2DE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00EE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6BE65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59C0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62FC"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72233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30E7F2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45DC1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941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00772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6B60F9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3CCEB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D3D41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D6A3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52292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3F5A9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8317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375E4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42C6A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F18B0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E85D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12940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591A39D0" w14:textId="77777777" w:rsidR="002902C7" w:rsidRDefault="002902C7">
      <w:pPr>
        <w:pStyle w:val="Heading2"/>
        <w:rPr>
          <w:rFonts w:ascii="Arial" w:eastAsia="Times New Roman" w:hAnsi="Arial" w:cs="Arial"/>
        </w:rPr>
      </w:pPr>
      <w:r>
        <w:rPr>
          <w:rFonts w:ascii="Arial" w:eastAsia="Times New Roman" w:hAnsi="Arial" w:cs="Arial"/>
        </w:rPr>
        <w:t>3  Team and environment</w:t>
      </w:r>
    </w:p>
    <w:p w14:paraId="5E28B3BB" w14:textId="77777777" w:rsidR="002902C7" w:rsidRDefault="002902C7">
      <w:pPr>
        <w:pStyle w:val="NormalWeb"/>
        <w:rPr>
          <w:rFonts w:ascii="Arial" w:hAnsi="Arial" w:cs="Arial"/>
          <w:sz w:val="21"/>
          <w:szCs w:val="21"/>
        </w:rPr>
      </w:pPr>
      <w:r>
        <w:rPr>
          <w:rFonts w:ascii="Arial" w:hAnsi="Arial" w:cs="Arial"/>
          <w:sz w:val="21"/>
          <w:szCs w:val="21"/>
        </w:rPr>
        <w:t xml:space="preserve">Team: PI (60 % commitment – </w:t>
      </w:r>
      <w:r>
        <w:rPr>
          <w:rFonts w:ascii="Arial" w:hAnsi="Arial" w:cs="Arial"/>
          <w:sz w:val="21"/>
          <w:szCs w:val="21"/>
        </w:rPr>
        <w:t xml:space="preserve">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w:t>
      </w:r>
      <w:r>
        <w:rPr>
          <w:rFonts w:ascii="Arial" w:hAnsi="Arial" w:cs="Arial"/>
          <w:sz w:val="21"/>
          <w:szCs w:val="21"/>
        </w:rPr>
        <w:t>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5A83FE99" w14:textId="77777777" w:rsidR="002902C7" w:rsidRDefault="002902C7">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3D090DF3"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B227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FF67591"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3EDA22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68E7B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D1E8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19592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72033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F16AA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2E488A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373F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602DC"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7E8B0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ED0C1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F5FA2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529FB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90A8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5527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529C38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1B8D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C8E4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73AC6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3A059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5B558"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D2DEF4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F09F7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2283F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1C1BE9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4242E0"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0C666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F265B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B93E7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DF0A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24162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8E9B92"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31FC1"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125137C" w14:textId="77777777" w:rsidR="002902C7" w:rsidRDefault="002902C7">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w:t>
      </w:r>
      <w:r>
        <w:rPr>
          <w:rFonts w:ascii="Arial" w:hAnsi="Arial" w:cs="Arial"/>
          <w:sz w:val="21"/>
          <w:szCs w:val="21"/>
        </w:rPr>
        <w:t>); UHV transfer suitcase for contamination-free PLD-to-synchrotron sample transfer (30,000 €). These items are used &gt;90 % by COVMAP and are essential for the frozen-platform methodology (identical growth and measurement conditions across five years).</w:t>
      </w:r>
    </w:p>
    <w:p w14:paraId="06691A19" w14:textId="77777777" w:rsidR="002902C7" w:rsidRDefault="002902C7">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w:t>
      </w:r>
      <w:r>
        <w:rPr>
          <w:rFonts w:ascii="Arial" w:hAnsi="Arial" w:cs="Arial"/>
          <w:sz w:val="21"/>
          <w:szCs w:val="21"/>
        </w:rPr>
        <w:t>≥</w:t>
      </w:r>
      <w:r>
        <w:rPr>
          <w:rFonts w:ascii="Arial" w:hAnsi="Arial" w:cs="Arial"/>
          <w:sz w:val="21"/>
          <w:szCs w:val="21"/>
        </w:rPr>
        <w:t>60 % of total working time to COVMAP and will spend 100 % of the project time in an EU member state.</w:t>
      </w:r>
    </w:p>
    <w:sectPr w:rsidR="002902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4C57"/>
    <w:rsid w:val="002902C7"/>
    <w:rsid w:val="009521A0"/>
    <w:rsid w:val="009D4C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B6AF2D"/>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08417">
      <w:marLeft w:val="0"/>
      <w:marRight w:val="0"/>
      <w:marTop w:val="0"/>
      <w:marBottom w:val="0"/>
      <w:divBdr>
        <w:top w:val="none" w:sz="0" w:space="0" w:color="auto"/>
        <w:left w:val="none" w:sz="0" w:space="0" w:color="auto"/>
        <w:bottom w:val="none" w:sz="0" w:space="0" w:color="auto"/>
        <w:right w:val="none" w:sz="0" w:space="0" w:color="auto"/>
      </w:divBdr>
    </w:div>
    <w:div w:id="1355763850">
      <w:marLeft w:val="0"/>
      <w:marRight w:val="0"/>
      <w:marTop w:val="0"/>
      <w:marBottom w:val="160"/>
      <w:divBdr>
        <w:top w:val="none" w:sz="0" w:space="0" w:color="auto"/>
        <w:left w:val="single" w:sz="24" w:space="8" w:color="003D7A"/>
        <w:bottom w:val="none" w:sz="0" w:space="0" w:color="auto"/>
        <w:right w:val="none" w:sz="0" w:space="0" w:color="auto"/>
      </w:divBdr>
    </w:div>
    <w:div w:id="1358893276">
      <w:marLeft w:val="0"/>
      <w:marRight w:val="0"/>
      <w:marTop w:val="0"/>
      <w:marBottom w:val="160"/>
      <w:divBdr>
        <w:top w:val="none" w:sz="0" w:space="0" w:color="auto"/>
        <w:left w:val="single" w:sz="24" w:space="8" w:color="003D7A"/>
        <w:bottom w:val="none" w:sz="0" w:space="0" w:color="auto"/>
        <w:right w:val="none" w:sz="0" w:space="0" w:color="auto"/>
      </w:divBdr>
    </w:div>
    <w:div w:id="1417094182">
      <w:marLeft w:val="0"/>
      <w:marRight w:val="0"/>
      <w:marTop w:val="0"/>
      <w:marBottom w:val="160"/>
      <w:divBdr>
        <w:top w:val="none" w:sz="0" w:space="0" w:color="auto"/>
        <w:left w:val="single" w:sz="24" w:space="8" w:color="003D7A"/>
        <w:bottom w:val="none" w:sz="0" w:space="0" w:color="auto"/>
        <w:right w:val="none" w:sz="0" w:space="0" w:color="auto"/>
      </w:divBdr>
    </w:div>
    <w:div w:id="1600261410">
      <w:marLeft w:val="0"/>
      <w:marRight w:val="0"/>
      <w:marTop w:val="0"/>
      <w:marBottom w:val="0"/>
      <w:divBdr>
        <w:top w:val="none" w:sz="0" w:space="0" w:color="auto"/>
        <w:left w:val="none" w:sz="0" w:space="0" w:color="auto"/>
        <w:bottom w:val="none" w:sz="0" w:space="0" w:color="auto"/>
        <w:right w:val="none" w:sz="0" w:space="0" w:color="auto"/>
      </w:divBdr>
    </w:div>
    <w:div w:id="1711765981">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3443</Words>
  <Characters>19628</Characters>
  <Application>Microsoft Office Word</Application>
  <DocSecurity>4</DocSecurity>
  <Lines>163</Lines>
  <Paragraphs>46</Paragraphs>
  <ScaleCrop>false</ScaleCrop>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