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A8796" w14:textId="77777777" w:rsidR="008E5A22" w:rsidRDefault="008E5A22">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5B803239" w14:textId="77777777" w:rsidR="008E5A22" w:rsidRDefault="008E5A22">
      <w:pPr>
        <w:pStyle w:val="NormalWeb"/>
        <w:rPr>
          <w:rFonts w:ascii="Arial" w:hAnsi="Arial" w:cs="Arial"/>
          <w:sz w:val="21"/>
          <w:szCs w:val="21"/>
        </w:rPr>
      </w:pPr>
      <w:r>
        <w:rPr>
          <w:rFonts w:ascii="Arial" w:hAnsi="Arial" w:cs="Arial"/>
          <w:sz w:val="21"/>
          <w:szCs w:val="21"/>
        </w:rPr>
        <w:t> </w:t>
      </w:r>
    </w:p>
    <w:p w14:paraId="60139F67" w14:textId="77777777" w:rsidR="008E5A22" w:rsidRDefault="008E5A22">
      <w:pPr>
        <w:pStyle w:val="NormalWeb"/>
        <w:rPr>
          <w:rFonts w:ascii="Arial" w:hAnsi="Arial" w:cs="Arial"/>
          <w:sz w:val="21"/>
          <w:szCs w:val="21"/>
        </w:rPr>
      </w:pPr>
      <w:r>
        <w:rPr>
          <w:rFonts w:ascii="Arial" w:hAnsi="Arial" w:cs="Arial"/>
          <w:sz w:val="21"/>
          <w:szCs w:val="21"/>
        </w:rPr>
        <w:t> </w:t>
      </w:r>
    </w:p>
    <w:p w14:paraId="6BD7256E" w14:textId="77777777" w:rsidR="008E5A22" w:rsidRDefault="008E5A22">
      <w:pPr>
        <w:pStyle w:val="NormalWeb"/>
        <w:rPr>
          <w:rFonts w:ascii="Arial" w:hAnsi="Arial" w:cs="Arial"/>
          <w:sz w:val="21"/>
          <w:szCs w:val="21"/>
        </w:rPr>
      </w:pPr>
      <w:r>
        <w:rPr>
          <w:rFonts w:ascii="Arial" w:hAnsi="Arial" w:cs="Arial"/>
          <w:sz w:val="21"/>
          <w:szCs w:val="21"/>
        </w:rPr>
        <w:t> </w:t>
      </w:r>
    </w:p>
    <w:p w14:paraId="37C3E632" w14:textId="77777777" w:rsidR="008E5A22" w:rsidRDefault="008E5A22">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7162E21B" w14:textId="77777777" w:rsidR="008E5A22" w:rsidRDefault="008E5A22">
      <w:pPr>
        <w:pStyle w:val="NormalWeb"/>
        <w:rPr>
          <w:rFonts w:ascii="Arial" w:hAnsi="Arial" w:cs="Arial"/>
          <w:sz w:val="21"/>
          <w:szCs w:val="21"/>
        </w:rPr>
      </w:pPr>
      <w:r>
        <w:rPr>
          <w:rFonts w:ascii="Arial" w:hAnsi="Arial" w:cs="Arial"/>
          <w:sz w:val="21"/>
          <w:szCs w:val="21"/>
        </w:rPr>
        <w:t> </w:t>
      </w:r>
    </w:p>
    <w:p w14:paraId="79890CC2" w14:textId="77777777" w:rsidR="008E5A22" w:rsidRDefault="008E5A22">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Memristive Switching: the Pr</w:t>
      </w:r>
      <w:r>
        <w:rPr>
          <w:rFonts w:ascii="Arial" w:hAnsi="Arial" w:cs="Arial"/>
          <w:b/>
          <w:bCs/>
          <w:sz w:val="26"/>
          <w:szCs w:val="26"/>
          <w:vertAlign w:val="subscript"/>
        </w:rPr>
        <w:t>1-x</w:t>
      </w:r>
      <w:r>
        <w:rPr>
          <w:rFonts w:ascii="Arial" w:hAnsi="Arial" w:cs="Arial"/>
          <w:b/>
          <w:bCs/>
          <w:sz w:val="26"/>
          <w:szCs w:val="26"/>
        </w:rPr>
        <w:t>Ca</w:t>
      </w:r>
      <w:r>
        <w:rPr>
          <w:rFonts w:ascii="Arial" w:hAnsi="Arial" w:cs="Arial"/>
          <w:b/>
          <w:bCs/>
          <w:sz w:val="26"/>
          <w:szCs w:val="26"/>
          <w:vertAlign w:val="subscript"/>
        </w:rPr>
        <w:t>x</w:t>
      </w:r>
      <w:r>
        <w:rPr>
          <w:rFonts w:ascii="Arial" w:hAnsi="Arial" w:cs="Arial"/>
          <w:b/>
          <w:bCs/>
          <w:sz w:val="26"/>
          <w:szCs w:val="26"/>
        </w:rPr>
        <w:t>MnO</w:t>
      </w:r>
      <w:r>
        <w:rPr>
          <w:rFonts w:ascii="Arial" w:hAnsi="Arial" w:cs="Arial"/>
          <w:b/>
          <w:bCs/>
          <w:sz w:val="26"/>
          <w:szCs w:val="26"/>
          <w:vertAlign w:val="subscript"/>
        </w:rPr>
        <w:t>3</w:t>
      </w:r>
      <w:r>
        <w:rPr>
          <w:rFonts w:ascii="Arial" w:hAnsi="Arial" w:cs="Arial"/>
          <w:b/>
          <w:bCs/>
          <w:sz w:val="26"/>
          <w:szCs w:val="26"/>
        </w:rPr>
        <w:t xml:space="preserve"> Model Series</w:t>
      </w:r>
    </w:p>
    <w:p w14:paraId="19BB5E7F" w14:textId="77777777" w:rsidR="008E5A22" w:rsidRDefault="008E5A22">
      <w:pPr>
        <w:pStyle w:val="NormalWeb"/>
        <w:rPr>
          <w:rFonts w:ascii="Arial" w:hAnsi="Arial" w:cs="Arial"/>
          <w:sz w:val="21"/>
          <w:szCs w:val="21"/>
        </w:rPr>
      </w:pPr>
      <w:r>
        <w:rPr>
          <w:rFonts w:ascii="Arial" w:hAnsi="Arial" w:cs="Arial"/>
          <w:sz w:val="21"/>
          <w:szCs w:val="21"/>
        </w:rPr>
        <w:t> </w:t>
      </w:r>
    </w:p>
    <w:p w14:paraId="4424F6E4" w14:textId="77777777" w:rsidR="008E5A22" w:rsidRDefault="008E5A2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74384540"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2070FA"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9B131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2855AC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C597AB"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5858DC"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w:t>
            </w:r>
            <w:r>
              <w:rPr>
                <w:rFonts w:ascii="Arial" w:eastAsia="Times New Roman" w:hAnsi="Arial" w:cs="Arial"/>
                <w:sz w:val="19"/>
                <w:szCs w:val="19"/>
              </w:rPr>
              <w:t>Friedrich Wilhelm Bessel Research Award winner of the AvH Foundation (2021), member of the Humboldt Network</w:t>
            </w:r>
          </w:p>
        </w:tc>
      </w:tr>
      <w:tr w:rsidR="00000000" w14:paraId="050C64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C06255"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895EF2"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13962F9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0DBE2"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803C4D"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2C01BA0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AC70A0"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9698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4228731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B8167"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B02FD9"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24D442B3" w14:textId="77777777" w:rsidR="008E5A22" w:rsidRDefault="008E5A22">
      <w:pPr>
        <w:pStyle w:val="NormalWeb"/>
        <w:rPr>
          <w:rFonts w:ascii="Arial" w:hAnsi="Arial" w:cs="Arial"/>
          <w:sz w:val="21"/>
          <w:szCs w:val="21"/>
        </w:rPr>
      </w:pPr>
      <w:r>
        <w:rPr>
          <w:rFonts w:ascii="Arial" w:hAnsi="Arial" w:cs="Arial"/>
          <w:sz w:val="21"/>
          <w:szCs w:val="21"/>
        </w:rPr>
        <w:t> </w:t>
      </w:r>
    </w:p>
    <w:p w14:paraId="7E0FA4D7" w14:textId="77777777" w:rsidR="008E5A22" w:rsidRDefault="008E5A22">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3933C7D0" w14:textId="77777777" w:rsidR="008E5A22" w:rsidRDefault="008E5A22">
      <w:pPr>
        <w:pStyle w:val="Heading1"/>
        <w:pageBreakBefore/>
        <w:rPr>
          <w:rFonts w:ascii="Arial" w:eastAsia="Times New Roman" w:hAnsi="Arial" w:cs="Arial"/>
        </w:rPr>
      </w:pPr>
      <w:r>
        <w:rPr>
          <w:rFonts w:ascii="Arial" w:eastAsia="Times New Roman" w:hAnsi="Arial" w:cs="Arial"/>
        </w:rPr>
        <w:lastRenderedPageBreak/>
        <w:t>Research Proposal (Exposé)</w:t>
      </w:r>
    </w:p>
    <w:p w14:paraId="12854C35" w14:textId="77777777" w:rsidR="008E5A22" w:rsidRDefault="008E5A22">
      <w:pPr>
        <w:pStyle w:val="Heading2"/>
        <w:rPr>
          <w:rFonts w:ascii="Arial" w:eastAsia="Times New Roman" w:hAnsi="Arial" w:cs="Arial"/>
        </w:rPr>
      </w:pPr>
      <w:r>
        <w:rPr>
          <w:rFonts w:ascii="Arial" w:eastAsia="Times New Roman" w:hAnsi="Arial" w:cs="Arial"/>
        </w:rPr>
        <w:t>1  Research question and scientific significance</w:t>
      </w:r>
    </w:p>
    <w:p w14:paraId="1EC95856" w14:textId="77777777" w:rsidR="008E5A22" w:rsidRDefault="008E5A22">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w:t>
      </w:r>
      <w:r>
        <w:rPr>
          <w:rFonts w:ascii="Arial" w:hAnsi="Arial" w:cs="Arial"/>
          <w:sz w:val="21"/>
          <w:szCs w:val="21"/>
        </w:rPr>
        <w:t>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model series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best-documented perovskite memristor family.</w:t>
      </w:r>
    </w:p>
    <w:p w14:paraId="2D4E8EDF" w14:textId="77777777" w:rsidR="008E5A22" w:rsidRDefault="008E5A22">
      <w:pPr>
        <w:pStyle w:val="NormalWeb"/>
        <w:rPr>
          <w:rFonts w:ascii="Arial" w:hAnsi="Arial" w:cs="Arial"/>
          <w:sz w:val="21"/>
          <w:szCs w:val="21"/>
        </w:rPr>
      </w:pPr>
      <w:r>
        <w:rPr>
          <w:rFonts w:ascii="Arial" w:hAnsi="Arial" w:cs="Arial"/>
          <w:sz w:val="21"/>
          <w:szCs w:val="21"/>
        </w:rPr>
        <w:t xml:space="preserve">PCMO is the ideal test system for a </w:t>
      </w:r>
      <w:r>
        <w:rPr>
          <w:rFonts w:ascii="Arial" w:hAnsi="Arial" w:cs="Arial"/>
          <w:i/>
          <w:iCs/>
          <w:sz w:val="21"/>
          <w:szCs w:val="21"/>
        </w:rPr>
        <w:t>clean</w:t>
      </w:r>
      <w:r>
        <w:rPr>
          <w:rFonts w:ascii="Arial" w:hAnsi="Arial" w:cs="Arial"/>
          <w:sz w:val="21"/>
          <w:szCs w:val="21"/>
        </w:rPr>
        <w:t xml:space="preserve"> covalency study, for three reasons. </w:t>
      </w:r>
      <w:r>
        <w:rPr>
          <w:rFonts w:ascii="Arial" w:hAnsi="Arial" w:cs="Arial"/>
          <w:b/>
          <w:bCs/>
          <w:sz w:val="21"/>
          <w:szCs w:val="21"/>
        </w:rPr>
        <w:t>(i) The covalency axis is established:</w:t>
      </w:r>
      <w:r>
        <w:rPr>
          <w:rFonts w:ascii="Arial" w:hAnsi="Arial" w:cs="Arial"/>
          <w:sz w:val="21"/>
          <w:szCs w:val="21"/>
        </w:rPr>
        <w:t xml:space="preserve"> Ca</w:t>
      </w:r>
      <w:r>
        <w:rPr>
          <w:rFonts w:ascii="Arial" w:hAnsi="Arial" w:cs="Arial"/>
          <w:sz w:val="21"/>
          <w:szCs w:val="21"/>
          <w:vertAlign w:val="superscript"/>
        </w:rPr>
        <w:t>2+</w:t>
      </w:r>
      <w:r>
        <w:rPr>
          <w:rFonts w:ascii="Arial" w:hAnsi="Arial" w:cs="Arial"/>
          <w:sz w:val="21"/>
          <w:szCs w:val="21"/>
        </w:rPr>
        <w:t xml:space="preserve"> substitution dopes holes with substantial O-2p character into the mixed-valent Mn</w:t>
      </w:r>
      <w:r>
        <w:rPr>
          <w:rFonts w:ascii="Arial" w:hAnsi="Arial" w:cs="Arial"/>
          <w:sz w:val="21"/>
          <w:szCs w:val="21"/>
          <w:vertAlign w:val="superscript"/>
        </w:rPr>
        <w:t>3+</w:t>
      </w:r>
      <w:r>
        <w:rPr>
          <w:rFonts w:ascii="Arial" w:hAnsi="Arial" w:cs="Arial"/>
          <w:sz w:val="21"/>
          <w:szCs w:val="21"/>
        </w:rPr>
        <w:t>/Mn</w:t>
      </w:r>
      <w:r>
        <w:rPr>
          <w:rFonts w:ascii="Arial" w:hAnsi="Arial" w:cs="Arial"/>
          <w:sz w:val="21"/>
          <w:szCs w:val="21"/>
          <w:vertAlign w:val="superscript"/>
        </w:rPr>
        <w:t>4+</w:t>
      </w:r>
      <w:r>
        <w:rPr>
          <w:rFonts w:ascii="Arial" w:hAnsi="Arial" w:cs="Arial"/>
          <w:sz w:val="21"/>
          <w:szCs w:val="21"/>
        </w:rPr>
        <w:t xml:space="preserve"> system; the resulting increase of Mn3d–O2p hybridisation with x is directly measurable at the O-K edge and has recently been quantified across the PCMO series in the electrocatalysis context [9] – </w:t>
      </w:r>
      <w:r>
        <w:rPr>
          <w:rFonts w:ascii="Arial" w:hAnsi="Arial" w:cs="Arial"/>
          <w:sz w:val="21"/>
          <w:szCs w:val="21"/>
        </w:rPr>
        <w:t xml:space="preserve">precisely the descriptor knowledge this project transfers to memristive switching, with the classic manganite X-ray absorption literature as calibration base [10, 11]. </w:t>
      </w:r>
      <w:r>
        <w:rPr>
          <w:rFonts w:ascii="Arial" w:hAnsi="Arial" w:cs="Arial"/>
          <w:b/>
          <w:bCs/>
          <w:sz w:val="21"/>
          <w:szCs w:val="21"/>
        </w:rPr>
        <w:t>(ii) The switching axis is established:</w:t>
      </w:r>
      <w:r>
        <w:rPr>
          <w:rFonts w:ascii="Arial" w:hAnsi="Arial" w:cs="Arial"/>
          <w:sz w:val="21"/>
          <w:szCs w:val="21"/>
        </w:rPr>
        <w:t xml:space="preserve"> PCMO delivered the first perovskite ReRAM demonstrations [12, 13], its interface redox mechanism is spectroscopically proven [14], and the field is comprehensively mapped in my first-author Chemical Reviews article [E2]. Crucially, the </w:t>
      </w:r>
      <w:r>
        <w:rPr>
          <w:rFonts w:ascii="Arial" w:hAnsi="Arial" w:cs="Arial"/>
          <w:i/>
          <w:iCs/>
          <w:sz w:val="21"/>
          <w:szCs w:val="21"/>
        </w:rPr>
        <w:t>only complete composition-resolved switching study in the entire perovskite ReRAM literature</w:t>
      </w:r>
      <w:r>
        <w:rPr>
          <w:rFonts w:ascii="Arial" w:hAnsi="Arial" w:cs="Arial"/>
          <w:sz w:val="21"/>
          <w:szCs w:val="21"/>
        </w:rPr>
        <w:t xml:space="preserve"> exists for PCMO: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Ca range and found a pronounced maximum of the switching ratio at x ≈ 0.4, with switching disappearing for x &gt; 0.8 [16] – a striking result that has remained without a materials-descriptor explanation for over fifteen years. </w:t>
      </w:r>
      <w:r>
        <w:rPr>
          <w:rFonts w:ascii="Arial" w:hAnsi="Arial" w:cs="Arial"/>
          <w:b/>
          <w:bCs/>
          <w:sz w:val="21"/>
          <w:szCs w:val="21"/>
        </w:rPr>
        <w:t>(iii) The mechanism is stable across the series:</w:t>
      </w:r>
      <w:r>
        <w:rPr>
          <w:rFonts w:ascii="Arial" w:hAnsi="Arial" w:cs="Arial"/>
          <w:sz w:val="21"/>
          <w:szCs w:val="21"/>
        </w:rPr>
        <w:t xml:space="preserve"> </w:t>
      </w:r>
      <w:r>
        <w:rPr>
          <w:rFonts w:ascii="Arial" w:hAnsi="Arial" w:cs="Arial"/>
          <w:sz w:val="21"/>
          <w:szCs w:val="21"/>
        </w:rPr>
        <w:t xml:space="preserve">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w:t>
      </w:r>
      <w:r>
        <w:rPr>
          <w:rFonts w:ascii="Arial" w:hAnsi="Arial" w:cs="Arial"/>
          <w:i/>
          <w:iCs/>
          <w:sz w:val="21"/>
          <w:szCs w:val="21"/>
        </w:rPr>
        <w:t>is</w:t>
      </w:r>
      <w:r>
        <w:rPr>
          <w:rFonts w:ascii="Arial" w:hAnsi="Arial" w:cs="Arial"/>
          <w:sz w:val="21"/>
          <w:szCs w:val="21"/>
        </w:rPr>
        <w:t xml:space="preserve"> the covalency optimum (“Goldilocks zone”) – </w:t>
      </w:r>
      <w:r>
        <w:rPr>
          <w:rFonts w:ascii="Arial" w:hAnsi="Arial" w:cs="Arial"/>
          <w:sz w:val="21"/>
          <w:szCs w:val="21"/>
        </w:rPr>
        <w:t>and its position can be predicted from an experimentally measured XAS covalency descriptor. This project adds the missing descriptor axis to the established switching axis; related composition series [15, 17] serve as consistency checks.</w:t>
      </w:r>
    </w:p>
    <w:p w14:paraId="39CBBA42" w14:textId="77777777" w:rsidR="008E5A22" w:rsidRDefault="008E5A22">
      <w:pPr>
        <w:pStyle w:val="Heading2"/>
        <w:rPr>
          <w:rFonts w:ascii="Arial" w:eastAsia="Times New Roman" w:hAnsi="Arial" w:cs="Arial"/>
        </w:rPr>
      </w:pPr>
      <w:r>
        <w:rPr>
          <w:rFonts w:ascii="Arial" w:eastAsia="Times New Roman" w:hAnsi="Arial" w:cs="Arial"/>
        </w:rPr>
        <w:t>2  Why the Chueh group at Stanford is the ideal place</w:t>
      </w:r>
    </w:p>
    <w:p w14:paraId="57B5471F" w14:textId="77777777" w:rsidR="008E5A22" w:rsidRDefault="008E5A22">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w:t>
      </w:r>
      <w:r>
        <w:rPr>
          <w:rFonts w:ascii="Arial" w:hAnsi="Arial" w:cs="Arial"/>
          <w:sz w:val="21"/>
          <w:szCs w:val="21"/>
        </w:rPr>
        <w:t>s seminal work on the redox activity of oxygen anions in oxygen-deficient perovskites [19]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[20] – with Christoph Baeumer from the Jülich school as first author – </w:t>
      </w:r>
      <w:r>
        <w:rPr>
          <w:rFonts w:ascii="Arial" w:hAnsi="Arial" w:cs="Arial"/>
          <w:sz w:val="21"/>
          <w:szCs w:val="21"/>
        </w:rPr>
        <w:t>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w:t>
      </w:r>
      <w:r>
        <w:rPr>
          <w:rFonts w:ascii="Arial" w:hAnsi="Arial" w:cs="Arial"/>
          <w:sz w:val="21"/>
          <w:szCs w:val="21"/>
        </w:rPr>
        <w:t xml:space="preserve"> at the Peter Gr</w:t>
      </w:r>
      <w:r>
        <w:rPr>
          <w:rFonts w:ascii="Arial" w:hAnsi="Arial" w:cs="Arial"/>
          <w:sz w:val="21"/>
          <w:szCs w:val="21"/>
        </w:rPr>
        <w:t>ünberg Institute (PGI-7, group of Prof. Dittmann) – acquired on PCMO itself, the very material of this proposal [E1–E3]. This is the strongest possible de-risking for a 24-month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w:t>
      </w:r>
      <w:r>
        <w:rPr>
          <w:rFonts w:ascii="Arial" w:hAnsi="Arial" w:cs="Arial"/>
          <w:sz w:val="21"/>
          <w:szCs w:val="21"/>
        </w:rPr>
        <w:t>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14:paraId="60766599" w14:textId="77777777" w:rsidR="008E5A22" w:rsidRDefault="008E5A22">
      <w:pPr>
        <w:pStyle w:val="Heading2"/>
        <w:rPr>
          <w:rFonts w:ascii="Arial" w:eastAsia="Times New Roman" w:hAnsi="Arial" w:cs="Arial"/>
        </w:rPr>
      </w:pPr>
      <w:r>
        <w:rPr>
          <w:rFonts w:ascii="Arial" w:eastAsia="Times New Roman" w:hAnsi="Arial" w:cs="Arial"/>
        </w:rPr>
        <w:t>3  Work programme (24 months)</w:t>
      </w:r>
    </w:p>
    <w:p w14:paraId="392489A8" w14:textId="77777777" w:rsidR="008E5A22" w:rsidRDefault="008E5A22">
      <w:pPr>
        <w:pStyle w:val="Heading3"/>
        <w:rPr>
          <w:rFonts w:ascii="Arial" w:eastAsia="Times New Roman" w:hAnsi="Arial" w:cs="Arial"/>
        </w:rPr>
      </w:pPr>
      <w:r>
        <w:rPr>
          <w:rFonts w:ascii="Arial" w:eastAsia="Times New Roman" w:hAnsi="Arial" w:cs="Arial"/>
        </w:rPr>
        <w:t>WP1 – Synthesis and descriptor measurement of the PCMO series (months 1–10)</w:t>
      </w:r>
    </w:p>
    <w:p w14:paraId="49C1BB29" w14:textId="77777777" w:rsidR="008E5A22" w:rsidRDefault="008E5A22">
      <w:pPr>
        <w:pStyle w:val="NormalWeb"/>
        <w:rPr>
          <w:rFonts w:ascii="Arial" w:hAnsi="Arial" w:cs="Arial"/>
          <w:sz w:val="21"/>
          <w:szCs w:val="21"/>
        </w:rPr>
      </w:pPr>
      <w:r>
        <w:rPr>
          <w:rFonts w:ascii="Arial" w:hAnsi="Arial" w:cs="Arial"/>
          <w:sz w:val="21"/>
          <w:szCs w:val="21"/>
        </w:rPr>
        <w:t>PLD growth of epitaxial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films (x = 0.1; 0.2; 0.3; 0.4; 0.5; 0.65; 0.8 – </w:t>
      </w:r>
      <w:r>
        <w:rPr>
          <w:rFonts w:ascii="Arial" w:hAnsi="Arial" w:cs="Arial"/>
          <w:sz w:val="21"/>
          <w:szCs w:val="21"/>
        </w:rPr>
        <w:t>dense sampling around the reported switching optimum at x ≈ 0.4 and up to the x &gt; 0.8 regime where switching reportedly vanishes [16])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building directly on my PCMO growth expertise [E1–</w:t>
      </w:r>
      <w:r>
        <w:rPr>
          <w:rFonts w:ascii="Arial" w:hAnsi="Arial" w:cs="Arial"/>
          <w:sz w:val="21"/>
          <w:szCs w:val="21"/>
        </w:rPr>
        <w:t>E3]; structural validation (XRD, AFM); cation and oxygen stoichiometry (XPS, RBS where required). In parallel, first XAS campaign at SSRL: O-K pre-edge quantification following the procedure of Suntivich et al. [11], benchmarked against the published PCMO covalence analysis [9], and Mn-L</w:t>
      </w:r>
      <w:r>
        <w:rPr>
          <w:rFonts w:ascii="Arial" w:hAnsi="Arial" w:cs="Arial"/>
          <w:sz w:val="21"/>
          <w:szCs w:val="21"/>
          <w:vertAlign w:val="subscript"/>
        </w:rPr>
        <w:t>2,3</w:t>
      </w:r>
      <w:r>
        <w:rPr>
          <w:rFonts w:ascii="Arial" w:hAnsi="Arial" w:cs="Arial"/>
          <w:sz w:val="21"/>
          <w:szCs w:val="21"/>
        </w:rPr>
        <w:t xml:space="preserve"> valence analysis for every composition → experimental covalency scale of the series. </w:t>
      </w:r>
      <w:r>
        <w:rPr>
          <w:rFonts w:ascii="Arial" w:hAnsi="Arial" w:cs="Arial"/>
          <w:i/>
          <w:iCs/>
          <w:sz w:val="21"/>
          <w:szCs w:val="21"/>
        </w:rPr>
        <w:t>Milestone M1 (month 10): validated sample series with complete descriptor set.</w:t>
      </w:r>
    </w:p>
    <w:p w14:paraId="2835F886" w14:textId="77777777" w:rsidR="008E5A22" w:rsidRDefault="008E5A22">
      <w:pPr>
        <w:pStyle w:val="Heading3"/>
        <w:rPr>
          <w:rFonts w:ascii="Arial" w:eastAsia="Times New Roman" w:hAnsi="Arial" w:cs="Arial"/>
        </w:rPr>
      </w:pPr>
      <w:r>
        <w:rPr>
          <w:rFonts w:ascii="Arial" w:eastAsia="Times New Roman" w:hAnsi="Arial" w:cs="Arial"/>
        </w:rPr>
        <w:t>WP2 – Devices and switching characterisation (months 8–</w:t>
      </w:r>
      <w:r>
        <w:rPr>
          <w:rFonts w:ascii="Arial" w:eastAsia="Times New Roman" w:hAnsi="Arial" w:cs="Arial"/>
        </w:rPr>
        <w:t>18)</w:t>
      </w:r>
    </w:p>
    <w:p w14:paraId="398C0459" w14:textId="77777777" w:rsidR="008E5A22" w:rsidRDefault="008E5A22">
      <w:pPr>
        <w:pStyle w:val="NormalWeb"/>
        <w:rPr>
          <w:rFonts w:ascii="Arial" w:hAnsi="Arial" w:cs="Arial"/>
          <w:sz w:val="21"/>
          <w:szCs w:val="21"/>
        </w:rPr>
      </w:pPr>
      <w:r>
        <w:rPr>
          <w:rFonts w:ascii="Arial" w:hAnsi="Arial" w:cs="Arial"/>
          <w:sz w:val="21"/>
          <w:szCs w:val="21"/>
        </w:rPr>
        <w:t xml:space="preserve">Two device flavours per composition, processed photolithographically with ≥ 30 nominally identical cells each: (i) a </w:t>
      </w:r>
      <w:r>
        <w:rPr>
          <w:rFonts w:ascii="Arial" w:hAnsi="Arial" w:cs="Arial"/>
          <w:i/>
          <w:iCs/>
          <w:sz w:val="21"/>
          <w:szCs w:val="21"/>
        </w:rPr>
        <w:t>benchmark geometry</w:t>
      </w:r>
      <w:r>
        <w:rPr>
          <w:rFonts w:ascii="Arial" w:hAnsi="Arial" w:cs="Arial"/>
          <w:sz w:val="21"/>
          <w:szCs w:val="21"/>
        </w:rPr>
        <w:t xml:space="preserve"> with reactive Ti top electrodes reproducing the Asanuma configuration [16] for direct quantitative comparability with the published switching-vs-x dataset, and (ii) a </w:t>
      </w:r>
      <w:r>
        <w:rPr>
          <w:rFonts w:ascii="Arial" w:hAnsi="Arial" w:cs="Arial"/>
          <w:i/>
          <w:iCs/>
          <w:sz w:val="21"/>
          <w:szCs w:val="21"/>
        </w:rPr>
        <w:t>clean geometry</w:t>
      </w:r>
      <w:r>
        <w:rPr>
          <w:rFonts w:ascii="Arial" w:hAnsi="Arial" w:cs="Arial"/>
          <w:sz w:val="21"/>
          <w:szCs w:val="21"/>
        </w:rPr>
        <w:t xml:space="preserve"> with inert Pt top electrodes on Nb:SrTiO</w:t>
      </w:r>
      <w:r>
        <w:rPr>
          <w:rFonts w:ascii="Arial" w:hAnsi="Arial" w:cs="Arial"/>
          <w:sz w:val="21"/>
          <w:szCs w:val="21"/>
          <w:vertAlign w:val="subscript"/>
        </w:rPr>
        <w:t>3</w:t>
      </w:r>
      <w:r>
        <w:rPr>
          <w:rFonts w:ascii="Arial" w:hAnsi="Arial" w:cs="Arial"/>
          <w:sz w:val="21"/>
          <w:szCs w:val="21"/>
        </w:rPr>
        <w:t xml:space="preserve">, isolating the covalency effect from reactive-electrode interface chemistry [14]. Quasistatic and pulsed switching characterisation following the statistics protocol established in my doctorate (ON/OFF at defined read-out voltage, forming requirement, switching kinetics, temperature-accelerated retention, endurance). </w:t>
      </w:r>
      <w:r>
        <w:rPr>
          <w:rFonts w:ascii="Arial" w:hAnsi="Arial" w:cs="Arial"/>
          <w:i/>
          <w:iCs/>
          <w:sz w:val="21"/>
          <w:szCs w:val="21"/>
        </w:rPr>
        <w:t>Milestone M2 (month 18): switching figures of merit as a function of x, in both geometries, with robust statistics.</w:t>
      </w:r>
    </w:p>
    <w:p w14:paraId="4B8F91BD" w14:textId="77777777" w:rsidR="008E5A22" w:rsidRDefault="008E5A22">
      <w:pPr>
        <w:pStyle w:val="Heading3"/>
        <w:rPr>
          <w:rFonts w:ascii="Arial" w:eastAsia="Times New Roman" w:hAnsi="Arial" w:cs="Arial"/>
        </w:rPr>
      </w:pPr>
      <w:r>
        <w:rPr>
          <w:rFonts w:ascii="Arial" w:eastAsia="Times New Roman" w:hAnsi="Arial" w:cs="Arial"/>
        </w:rPr>
        <w:t>WP3 – Correlation, operando validation and publication (months 16–24)</w:t>
      </w:r>
    </w:p>
    <w:p w14:paraId="5DD6DD78" w14:textId="77777777" w:rsidR="008E5A22" w:rsidRDefault="008E5A22">
      <w:pPr>
        <w:pStyle w:val="NormalWeb"/>
        <w:rPr>
          <w:rFonts w:ascii="Arial" w:hAnsi="Arial" w:cs="Arial"/>
          <w:sz w:val="21"/>
          <w:szCs w:val="21"/>
        </w:rPr>
      </w:pPr>
      <w:r>
        <w:rPr>
          <w:rFonts w:ascii="Arial" w:hAnsi="Arial" w:cs="Arial"/>
          <w:sz w:val="21"/>
          <w:szCs w:val="21"/>
        </w:rPr>
        <w:t>Correlation analysis covalency (XAS) ↔ E</w:t>
      </w:r>
      <w:r>
        <w:rPr>
          <w:rFonts w:ascii="Arial" w:hAnsi="Arial" w:cs="Arial"/>
          <w:sz w:val="21"/>
          <w:szCs w:val="21"/>
          <w:vertAlign w:val="subscript"/>
        </w:rPr>
        <w:t>V</w:t>
      </w:r>
      <w:r>
        <w:rPr>
          <w:rFonts w:ascii="Arial" w:hAnsi="Arial" w:cs="Arial"/>
          <w:sz w:val="21"/>
          <w:szCs w:val="21"/>
        </w:rPr>
        <w:t xml:space="preserve"> (literature descriptor models [5–8]) ↔ switching metrics; test of the central hypothesis that the covalency descriptor predicts the position of the Asanuma optimum. Second SSRL campaign: XAS on switched cells (ex-situ before/after switching, operando if successful) to verify that the composition-dependent differences indeed rest on different V</w:t>
      </w:r>
      <w:r>
        <w:rPr>
          <w:rFonts w:ascii="Arial" w:hAnsi="Arial" w:cs="Arial"/>
          <w:sz w:val="21"/>
          <w:szCs w:val="21"/>
          <w:vertAlign w:val="subscript"/>
        </w:rPr>
        <w:t>O</w:t>
      </w:r>
      <w:r>
        <w:rPr>
          <w:rFonts w:ascii="Arial" w:hAnsi="Arial" w:cs="Arial"/>
          <w:sz w:val="21"/>
          <w:szCs w:val="21"/>
        </w:rPr>
        <w:t xml:space="preserve"> </w:t>
      </w:r>
      <w:r>
        <w:rPr>
          <w:rFonts w:ascii="Arial" w:hAnsi="Arial" w:cs="Arial"/>
          <w:sz w:val="21"/>
          <w:szCs w:val="21"/>
        </w:rPr>
        <w:t xml:space="preserve">dynamics. Publication of the first covalency-resolved memristor study of a perovskite series; dataset released following FAIR principles. </w:t>
      </w:r>
      <w:r>
        <w:rPr>
          <w:rFonts w:ascii="Arial" w:hAnsi="Arial" w:cs="Arial"/>
          <w:i/>
          <w:iCs/>
          <w:sz w:val="21"/>
          <w:szCs w:val="21"/>
        </w:rPr>
        <w:t>Milestone M3 (month 24): submitted publication(s), public dataset.</w:t>
      </w:r>
    </w:p>
    <w:p w14:paraId="16FB2E52" w14:textId="77777777" w:rsidR="008E5A22" w:rsidRDefault="008E5A22">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515A1BA6"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D2CBE94"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89815D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D8AF6C0"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7292A8B"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1520E01"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3F031B4"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0AF8B19"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9782D92"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2794509"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760651F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E37DA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5955E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4142A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A6E24D"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447186"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C3FB73" w14:textId="77777777" w:rsidR="008E5A22" w:rsidRDefault="008E5A22">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920F1F"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5ACF68"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3BCFF" w14:textId="77777777" w:rsidR="008E5A22" w:rsidRDefault="008E5A22">
            <w:pPr>
              <w:spacing w:before="120" w:after="200"/>
              <w:jc w:val="center"/>
              <w:rPr>
                <w:rFonts w:eastAsia="Times New Roman"/>
                <w:sz w:val="20"/>
                <w:szCs w:val="20"/>
              </w:rPr>
            </w:pPr>
          </w:p>
        </w:tc>
      </w:tr>
      <w:tr w:rsidR="00000000" w14:paraId="792BD2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41818"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9D521F" w14:textId="77777777" w:rsidR="008E5A22" w:rsidRDefault="008E5A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643D6A"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94D04C"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079D5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2C197A"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DA355C"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3DF4AB" w14:textId="77777777" w:rsidR="008E5A22" w:rsidRDefault="008E5A22">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033B1" w14:textId="77777777" w:rsidR="008E5A22" w:rsidRDefault="008E5A22">
            <w:pPr>
              <w:spacing w:before="120" w:after="200"/>
              <w:jc w:val="center"/>
              <w:rPr>
                <w:rFonts w:eastAsia="Times New Roman"/>
                <w:sz w:val="20"/>
                <w:szCs w:val="20"/>
              </w:rPr>
            </w:pPr>
          </w:p>
        </w:tc>
      </w:tr>
      <w:tr w:rsidR="00000000" w14:paraId="31A08DB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38A551"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ADC49" w14:textId="77777777" w:rsidR="008E5A22" w:rsidRDefault="008E5A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51976A"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A8E81"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A9D244"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F447A8"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DC069"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7B67D1"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4A9770"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76959DA" w14:textId="77777777" w:rsidR="008E5A22" w:rsidRDefault="008E5A22">
      <w:pPr>
        <w:pStyle w:val="Heading2"/>
        <w:rPr>
          <w:rFonts w:ascii="Arial" w:eastAsia="Times New Roman" w:hAnsi="Arial" w:cs="Arial"/>
        </w:rPr>
      </w:pPr>
      <w:r>
        <w:rPr>
          <w:rFonts w:ascii="Arial" w:eastAsia="Times New Roman" w:hAnsi="Arial" w:cs="Arial"/>
        </w:rPr>
        <w:t>5  Career perspective and return strategy</w:t>
      </w:r>
    </w:p>
    <w:p w14:paraId="1FA8FF20" w14:textId="77777777" w:rsidR="008E5A22" w:rsidRDefault="008E5A22">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w:t>
      </w:r>
      <w:r>
        <w:rPr>
          <w:rFonts w:ascii="Arial" w:hAnsi="Arial" w:cs="Arial"/>
          <w:sz w:val="21"/>
          <w:szCs w:val="21"/>
        </w:rPr>
        <w:t xml:space="preserve">and at the same time delivers the empirical foundation (the covalency-resolved PCMO dataset) for the larger programme of a “treasure map” </w:t>
      </w:r>
      <w:r>
        <w:rPr>
          <w:rFonts w:ascii="Arial" w:hAnsi="Arial" w:cs="Arial"/>
          <w:sz w:val="21"/>
          <w:szCs w:val="21"/>
        </w:rPr>
        <w:t>of memristive oxides in analogy to the bonding-descriptor maps of Wuttig et al. [21]. The choice of the mechanism-stable PCMO family for this fellowship is deliberate: it de-risks the descriptor methodology on the cleanest possible system; the subsequent group programme then scales it to the ferrite and cobaltite families, where topotactic phase transitions are no longer a confounder but become chartable mechanism boundaries on the map. The return is concretely planned: reintegration into the German oxide-e</w:t>
      </w:r>
      <w:r>
        <w:rPr>
          <w:rFonts w:ascii="Arial" w:hAnsi="Arial" w:cs="Arial"/>
          <w:sz w:val="21"/>
          <w:szCs w:val="21"/>
        </w:rPr>
        <w:t>lectronics environment (FZ J</w:t>
      </w:r>
      <w:r>
        <w:rPr>
          <w:rFonts w:ascii="Arial" w:hAnsi="Arial" w:cs="Arial"/>
          <w:sz w:val="21"/>
          <w:szCs w:val="21"/>
        </w:rPr>
        <w:t>ülich/RWTH Aachen, JARA), supported by the Feodor Lynen Return Fellowship, with submission of the group proposal during the final year of the stay. The Stanford/SSRL collaboration built up abroad will be continued as the transatlantic bridge of the future group.</w:t>
      </w:r>
    </w:p>
    <w:p w14:paraId="31503D13" w14:textId="77777777" w:rsidR="008E5A22" w:rsidRDefault="008E5A22">
      <w:pPr>
        <w:pStyle w:val="Heading2"/>
        <w:rPr>
          <w:rFonts w:ascii="Arial" w:eastAsia="Times New Roman" w:hAnsi="Arial" w:cs="Arial"/>
        </w:rPr>
      </w:pPr>
      <w:r>
        <w:rPr>
          <w:rFonts w:ascii="Arial" w:eastAsia="Times New Roman" w:hAnsi="Arial" w:cs="Arial"/>
        </w:rPr>
        <w:t>6  References</w:t>
      </w:r>
    </w:p>
    <w:p w14:paraId="6E43E28F" w14:textId="77777777" w:rsidR="008E5A22" w:rsidRDefault="008E5A22">
      <w:pPr>
        <w:spacing w:after="60"/>
        <w:ind w:hanging="480"/>
        <w:divId w:val="2073653082"/>
        <w:rPr>
          <w:rFonts w:ascii="Arial" w:hAnsi="Arial" w:cs="Arial"/>
          <w:sz w:val="18"/>
          <w:szCs w:val="18"/>
        </w:rPr>
      </w:pPr>
      <w:r>
        <w:rPr>
          <w:rFonts w:ascii="Arial" w:hAnsi="Arial" w:cs="Arial"/>
          <w:sz w:val="18"/>
          <w:szCs w:val="18"/>
        </w:rPr>
        <w:t>[1] R. Waser, M. Aono, Nanoionics-based resistive switching memories. Nature Materials 6, 833–840 (2007).</w:t>
      </w:r>
    </w:p>
    <w:p w14:paraId="3D576DED" w14:textId="77777777" w:rsidR="008E5A22" w:rsidRDefault="008E5A22">
      <w:pPr>
        <w:spacing w:after="60"/>
        <w:ind w:hanging="480"/>
        <w:divId w:val="2073653082"/>
        <w:rPr>
          <w:rFonts w:ascii="Arial" w:hAnsi="Arial" w:cs="Arial"/>
          <w:sz w:val="18"/>
          <w:szCs w:val="18"/>
        </w:rPr>
      </w:pPr>
      <w:r>
        <w:rPr>
          <w:rFonts w:ascii="Arial" w:hAnsi="Arial" w:cs="Arial"/>
          <w:sz w:val="18"/>
          <w:szCs w:val="18"/>
        </w:rPr>
        <w:t xml:space="preserve">[2] R. Waser, R. Dittmann, G. Staikov, K. Szot, Redox-Based Resistive Switching Memories – </w:t>
      </w:r>
      <w:r>
        <w:rPr>
          <w:rFonts w:ascii="Arial" w:hAnsi="Arial" w:cs="Arial"/>
          <w:sz w:val="18"/>
          <w:szCs w:val="18"/>
        </w:rPr>
        <w:t>Nanoionic Mechanisms, Prospects, and Challenges. Advanced Materials 21, 2632–2663 (2009).</w:t>
      </w:r>
    </w:p>
    <w:p w14:paraId="5E20FF2D" w14:textId="77777777" w:rsidR="008E5A22" w:rsidRDefault="008E5A22">
      <w:pPr>
        <w:spacing w:after="60"/>
        <w:ind w:hanging="480"/>
        <w:divId w:val="207365308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32EA58A2" w14:textId="77777777" w:rsidR="008E5A22" w:rsidRDefault="008E5A22">
      <w:pPr>
        <w:spacing w:after="60"/>
        <w:ind w:hanging="480"/>
        <w:divId w:val="2073653082"/>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63571F48" w14:textId="77777777" w:rsidR="008E5A22" w:rsidRDefault="008E5A22">
      <w:pPr>
        <w:spacing w:after="60"/>
        <w:ind w:hanging="480"/>
        <w:divId w:val="2073653082"/>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20580498" w14:textId="77777777" w:rsidR="008E5A22" w:rsidRDefault="008E5A22">
      <w:pPr>
        <w:spacing w:after="60"/>
        <w:ind w:hanging="480"/>
        <w:divId w:val="2073653082"/>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6BB50339" w14:textId="77777777" w:rsidR="008E5A22" w:rsidRDefault="008E5A22">
      <w:pPr>
        <w:spacing w:after="60"/>
        <w:ind w:hanging="480"/>
        <w:divId w:val="2073653082"/>
        <w:rPr>
          <w:rFonts w:ascii="Arial" w:hAnsi="Arial" w:cs="Arial"/>
          <w:sz w:val="18"/>
          <w:szCs w:val="18"/>
        </w:rPr>
      </w:pPr>
      <w:r>
        <w:rPr>
          <w:rFonts w:ascii="Arial" w:hAnsi="Arial" w:cs="Arial"/>
          <w:sz w:val="18"/>
          <w:szCs w:val="18"/>
        </w:rPr>
        <w:t>[7] A. M. Deml, V. Stevanović, C. L. Muhich, C. B. Musgrave, R. O’</w:t>
      </w:r>
      <w:r>
        <w:rPr>
          <w:rFonts w:ascii="Arial" w:hAnsi="Arial" w:cs="Arial"/>
          <w:sz w:val="18"/>
          <w:szCs w:val="18"/>
        </w:rPr>
        <w:t>Hayre, Oxide enthalpy of formation and band gap energy as accurate descriptors of oxygen vacancy formation energetics. Energy &amp; Environmental Science 7, 1996–2004 (2014).</w:t>
      </w:r>
    </w:p>
    <w:p w14:paraId="1A4990E7" w14:textId="77777777" w:rsidR="008E5A22" w:rsidRDefault="008E5A22">
      <w:pPr>
        <w:spacing w:after="60"/>
        <w:ind w:hanging="480"/>
        <w:divId w:val="2073653082"/>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1348B6AD" w14:textId="77777777" w:rsidR="008E5A22" w:rsidRDefault="008E5A22">
      <w:pPr>
        <w:spacing w:after="60"/>
        <w:ind w:hanging="480"/>
        <w:divId w:val="2073653082"/>
        <w:rPr>
          <w:rFonts w:ascii="Arial" w:hAnsi="Arial" w:cs="Arial"/>
          <w:sz w:val="18"/>
          <w:szCs w:val="18"/>
        </w:rPr>
      </w:pPr>
      <w:r>
        <w:rPr>
          <w:rFonts w:ascii="Arial" w:hAnsi="Arial" w:cs="Arial"/>
          <w:sz w:val="18"/>
          <w:szCs w:val="18"/>
        </w:rPr>
        <w:t>[9] Contrasting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w:t>
      </w:r>
      <w:r>
        <w:rPr>
          <w:rFonts w:ascii="Arial" w:hAnsi="Arial" w:cs="Arial"/>
          <w:sz w:val="18"/>
          <w:szCs w:val="18"/>
        </w:rPr>
        <w:t>OER Catalysts with Different Valences and Covalences. Journal of Physical Chemistry C 126 (2022), DOI 10.1021/acs.jpcc.2c05622 [complete author list before submission].</w:t>
      </w:r>
    </w:p>
    <w:p w14:paraId="6794CCA2" w14:textId="77777777" w:rsidR="008E5A22" w:rsidRDefault="008E5A22">
      <w:pPr>
        <w:spacing w:after="60"/>
        <w:ind w:hanging="480"/>
        <w:divId w:val="2073653082"/>
        <w:rPr>
          <w:rFonts w:ascii="Arial" w:hAnsi="Arial" w:cs="Arial"/>
          <w:sz w:val="18"/>
          <w:szCs w:val="18"/>
        </w:rPr>
      </w:pPr>
      <w:r>
        <w:rPr>
          <w:rFonts w:ascii="Arial" w:hAnsi="Arial" w:cs="Arial"/>
          <w:sz w:val="18"/>
          <w:szCs w:val="18"/>
        </w:rPr>
        <w:t>[10]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527B4F1F" w14:textId="77777777" w:rsidR="008E5A22" w:rsidRDefault="008E5A22">
      <w:pPr>
        <w:spacing w:after="60"/>
        <w:ind w:hanging="480"/>
        <w:divId w:val="2073653082"/>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5F974428" w14:textId="77777777" w:rsidR="008E5A22" w:rsidRDefault="008E5A22">
      <w:pPr>
        <w:spacing w:after="60"/>
        <w:ind w:hanging="480"/>
        <w:divId w:val="2073653082"/>
        <w:rPr>
          <w:rFonts w:ascii="Arial" w:hAnsi="Arial" w:cs="Arial"/>
          <w:sz w:val="18"/>
          <w:szCs w:val="18"/>
        </w:rPr>
      </w:pPr>
      <w:r>
        <w:rPr>
          <w:rFonts w:ascii="Arial" w:hAnsi="Arial" w:cs="Arial"/>
          <w:sz w:val="18"/>
          <w:szCs w:val="18"/>
        </w:rPr>
        <w:t>[12] S. Q. Liu, N. J. Wu, A. Ignatiev, Electric-pulse-induced reversible resistance change effect in magnetoresistive films. Applied Physics Letters 76, 2749–2751 (2000).</w:t>
      </w:r>
    </w:p>
    <w:p w14:paraId="491EA1F3" w14:textId="77777777" w:rsidR="008E5A22" w:rsidRDefault="008E5A22">
      <w:pPr>
        <w:spacing w:after="60"/>
        <w:ind w:hanging="480"/>
        <w:divId w:val="2073653082"/>
        <w:rPr>
          <w:rFonts w:ascii="Arial" w:hAnsi="Arial" w:cs="Arial"/>
          <w:sz w:val="18"/>
          <w:szCs w:val="18"/>
        </w:rPr>
      </w:pPr>
      <w:r>
        <w:rPr>
          <w:rFonts w:ascii="Arial" w:hAnsi="Arial" w:cs="Arial"/>
          <w:sz w:val="18"/>
          <w:szCs w:val="18"/>
        </w:rPr>
        <w:t>[13] A. Sawa, T. Fujii, M. Kawasaki, Y. Tokura, Hysteretic current–voltage characteristics and resistance switching at a rectifying Ti/Pr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interface. Applied Physics Letters 85, 4073–4075 (2004).</w:t>
      </w:r>
    </w:p>
    <w:p w14:paraId="3737C4F0" w14:textId="77777777" w:rsidR="008E5A22" w:rsidRDefault="008E5A22">
      <w:pPr>
        <w:spacing w:after="60"/>
        <w:ind w:hanging="480"/>
        <w:divId w:val="2073653082"/>
        <w:rPr>
          <w:rFonts w:ascii="Arial" w:hAnsi="Arial" w:cs="Arial"/>
          <w:sz w:val="18"/>
          <w:szCs w:val="18"/>
        </w:rPr>
      </w:pPr>
      <w:r>
        <w:rPr>
          <w:rFonts w:ascii="Arial" w:hAnsi="Arial" w:cs="Arial"/>
          <w:sz w:val="18"/>
          <w:szCs w:val="18"/>
        </w:rPr>
        <w:t>[14] A. Herpers, C. Lenser, C. Park, F. Offi, F. Borgatti, G. Panaccione, S. Menzel, R. Waser, R. Dittmann, Spectroscopic proof of the correlation between redox-state and charge-carrier transport at the interface of resistively switching Ti/PCMO devices. Advanced Materials 26, 2730–2735 (2014).</w:t>
      </w:r>
    </w:p>
    <w:p w14:paraId="718B06F9" w14:textId="77777777" w:rsidR="008E5A22" w:rsidRDefault="008E5A22">
      <w:pPr>
        <w:spacing w:after="60"/>
        <w:ind w:hanging="480"/>
        <w:divId w:val="2073653082"/>
        <w:rPr>
          <w:rFonts w:ascii="Arial" w:hAnsi="Arial" w:cs="Arial"/>
          <w:sz w:val="18"/>
          <w:szCs w:val="18"/>
        </w:rPr>
      </w:pPr>
      <w:r>
        <w:rPr>
          <w:rFonts w:ascii="Arial" w:hAnsi="Arial" w:cs="Arial"/>
          <w:sz w:val="18"/>
          <w:szCs w:val="18"/>
        </w:rPr>
        <w:t>[15]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w:t>
      </w:r>
      <w:r>
        <w:rPr>
          <w:rFonts w:ascii="Arial" w:hAnsi="Arial" w:cs="Arial"/>
          <w:sz w:val="18"/>
          <w:szCs w:val="18"/>
        </w:rPr>
        <w:t>films. Thin Solid Films 529, 352–355 (2013).</w:t>
      </w:r>
    </w:p>
    <w:p w14:paraId="7D976BD9" w14:textId="77777777" w:rsidR="008E5A22" w:rsidRDefault="008E5A22">
      <w:pPr>
        <w:spacing w:after="60"/>
        <w:ind w:hanging="480"/>
        <w:divId w:val="2073653082"/>
        <w:rPr>
          <w:rFonts w:ascii="Arial" w:hAnsi="Arial" w:cs="Arial"/>
          <w:sz w:val="18"/>
          <w:szCs w:val="18"/>
        </w:rPr>
      </w:pPr>
      <w:r>
        <w:rPr>
          <w:rFonts w:ascii="Arial" w:hAnsi="Arial" w:cs="Arial"/>
          <w:sz w:val="18"/>
          <w:szCs w:val="18"/>
        </w:rPr>
        <w:t>[16]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35116B87" w14:textId="77777777" w:rsidR="008E5A22" w:rsidRDefault="008E5A22">
      <w:pPr>
        <w:spacing w:after="60"/>
        <w:ind w:hanging="480"/>
        <w:divId w:val="2073653082"/>
        <w:rPr>
          <w:rFonts w:ascii="Arial" w:hAnsi="Arial" w:cs="Arial"/>
          <w:sz w:val="18"/>
          <w:szCs w:val="18"/>
        </w:rPr>
      </w:pPr>
      <w:r>
        <w:rPr>
          <w:rFonts w:ascii="Arial" w:hAnsi="Arial" w:cs="Arial"/>
          <w:sz w:val="18"/>
          <w:szCs w:val="18"/>
        </w:rPr>
        <w:t>[17]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7856F215" w14:textId="77777777" w:rsidR="008E5A22" w:rsidRDefault="008E5A22">
      <w:pPr>
        <w:spacing w:after="60"/>
        <w:ind w:hanging="480"/>
        <w:divId w:val="2073653082"/>
        <w:rPr>
          <w:rFonts w:ascii="Arial" w:hAnsi="Arial" w:cs="Arial"/>
          <w:sz w:val="18"/>
          <w:szCs w:val="18"/>
        </w:rPr>
      </w:pPr>
      <w:r>
        <w:rPr>
          <w:rFonts w:ascii="Arial" w:hAnsi="Arial" w:cs="Arial"/>
          <w:sz w:val="18"/>
          <w:szCs w:val="18"/>
        </w:rPr>
        <w:t>[18]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3A91F9E1" w14:textId="77777777" w:rsidR="008E5A22" w:rsidRDefault="008E5A22">
      <w:pPr>
        <w:spacing w:after="60"/>
        <w:ind w:hanging="480"/>
        <w:divId w:val="2073653082"/>
        <w:rPr>
          <w:rFonts w:ascii="Arial" w:hAnsi="Arial" w:cs="Arial"/>
          <w:sz w:val="18"/>
          <w:szCs w:val="18"/>
        </w:rPr>
      </w:pPr>
      <w:r>
        <w:rPr>
          <w:rFonts w:ascii="Arial" w:hAnsi="Arial" w:cs="Arial"/>
          <w:sz w:val="18"/>
          <w:szCs w:val="18"/>
        </w:rPr>
        <w:t>[19] D. N. Mueller, M. L. Machala, H. Bluhm, W. C. Chueh, Redox activity of surface oxygen anions in oxygen-deficient perovskite oxides during electrochemical reactions. Nature Communications 6, 6097 (2015).</w:t>
      </w:r>
    </w:p>
    <w:p w14:paraId="0D2BF619" w14:textId="77777777" w:rsidR="008E5A22" w:rsidRDefault="008E5A22">
      <w:pPr>
        <w:spacing w:after="60"/>
        <w:ind w:hanging="480"/>
        <w:divId w:val="2073653082"/>
        <w:rPr>
          <w:rFonts w:ascii="Arial" w:hAnsi="Arial" w:cs="Arial"/>
          <w:sz w:val="18"/>
          <w:szCs w:val="18"/>
        </w:rPr>
      </w:pPr>
      <w:r>
        <w:rPr>
          <w:rFonts w:ascii="Arial" w:hAnsi="Arial" w:cs="Arial"/>
          <w:sz w:val="18"/>
          <w:szCs w:val="18"/>
        </w:rPr>
        <w:t>[20]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6A8CC9E3" w14:textId="77777777" w:rsidR="008E5A22" w:rsidRDefault="008E5A22">
      <w:pPr>
        <w:spacing w:after="60"/>
        <w:ind w:hanging="480"/>
        <w:divId w:val="2073653082"/>
        <w:rPr>
          <w:rFonts w:ascii="Arial" w:hAnsi="Arial" w:cs="Arial"/>
          <w:sz w:val="18"/>
          <w:szCs w:val="18"/>
        </w:rPr>
      </w:pPr>
      <w:r>
        <w:rPr>
          <w:rFonts w:ascii="Arial" w:hAnsi="Arial" w:cs="Arial"/>
          <w:sz w:val="18"/>
          <w:szCs w:val="18"/>
        </w:rPr>
        <w:t>[21] M. Wuttig et al., Revisiting the Nature of Chemical Bonding in Chalcogenides to Explain and Design their Properties. Advanced Materials 35, 2208485 (2023).</w:t>
      </w:r>
    </w:p>
    <w:p w14:paraId="3629FB22" w14:textId="77777777" w:rsidR="008E5A22" w:rsidRDefault="008E5A22">
      <w:pPr>
        <w:spacing w:after="60"/>
        <w:ind w:hanging="480"/>
        <w:divId w:val="2073653082"/>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w:t>
      </w:r>
      <w:r>
        <w:rPr>
          <w:rFonts w:ascii="Arial" w:hAnsi="Arial" w:cs="Arial"/>
          <w:sz w:val="18"/>
          <w:szCs w:val="18"/>
        </w:rPr>
        <w:t>for Area-Dependent Resistive Switching Devices. Advanced Electronic Materials (2026, accepted).</w:t>
      </w:r>
    </w:p>
    <w:p w14:paraId="03940FE3" w14:textId="77777777" w:rsidR="008E5A22" w:rsidRDefault="008E5A22">
      <w:pPr>
        <w:spacing w:after="60"/>
        <w:ind w:hanging="480"/>
        <w:divId w:val="2073653082"/>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2322458" w14:textId="77777777" w:rsidR="008E5A22" w:rsidRDefault="008E5A22">
      <w:pPr>
        <w:spacing w:after="60"/>
        <w:ind w:hanging="480"/>
        <w:divId w:val="2073653082"/>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38A93C9B" w14:textId="77777777" w:rsidR="008E5A22" w:rsidRDefault="008E5A22">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21E64BFB"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F86CAB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11BC87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2923DD1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FDB25B"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B007B1"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07DC35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E59DF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EB31A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000000" w14:paraId="51BD59B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F39578"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9DF6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50CAE20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7009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4E958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42F146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E617E"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FED9AA"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4228F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1BD44D"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AC5AEC"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7455DF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B77A2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59F8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1D787D11" w14:textId="77777777" w:rsidR="008E5A22" w:rsidRDefault="008E5A22">
      <w:pPr>
        <w:pStyle w:val="Heading2"/>
        <w:rPr>
          <w:rFonts w:ascii="Arial" w:eastAsia="Times New Roman" w:hAnsi="Arial" w:cs="Arial"/>
        </w:rPr>
      </w:pPr>
      <w:r>
        <w:rPr>
          <w:rFonts w:ascii="Arial" w:eastAsia="Times New Roman" w:hAnsi="Arial" w:cs="Arial"/>
        </w:rPr>
        <w:t>Fellowship benefits (for orientation, as of 2026)</w:t>
      </w:r>
    </w:p>
    <w:p w14:paraId="3262BFBB" w14:textId="77777777" w:rsidR="008E5A22" w:rsidRDefault="008E5A22">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w:t>
      </w:r>
      <w:r>
        <w:rPr>
          <w:rFonts w:ascii="Arial" w:hAnsi="Arial" w:cs="Arial"/>
          <w:sz w:val="21"/>
          <w:szCs w:val="21"/>
        </w:rPr>
        <w:t>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8E5A2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C7534"/>
    <w:rsid w:val="003C7534"/>
    <w:rsid w:val="008E5A22"/>
    <w:rsid w:val="009521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9E4DB0"/>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3653082">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2511</Words>
  <Characters>14319</Characters>
  <Application>Microsoft Office Word</Application>
  <DocSecurity>4</DocSecurity>
  <Lines>119</Lines>
  <Paragraphs>33</Paragraphs>
  <ScaleCrop>false</ScaleCrop>
  <Company/>
  <LinksUpToDate>false</LinksUpToDate>
  <CharactersWithSpaces>16797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2026-08-09T14:10:00Z</dcterms:created>
  <dcterms:modified xsi:type="dcterms:W3CDTF">2026-08-09T14:10:00Z</dcterms:modified>
</cp:coreProperties>
</file>