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20FE7" w14:textId="77777777" w:rsidR="001761AA" w:rsidRDefault="001761AA">
      <w:pPr>
        <w:pStyle w:val="NormalWeb"/>
        <w:jc w:val="right"/>
        <w:rPr>
          <w:rFonts w:ascii="Arial" w:hAnsi="Arial" w:cs="Arial"/>
          <w:color w:val="555555"/>
          <w:sz w:val="21"/>
          <w:szCs w:val="21"/>
        </w:rPr>
      </w:pPr>
      <w:r>
        <w:rPr>
          <w:rFonts w:ascii="Arial" w:hAnsi="Arial" w:cs="Arial"/>
          <w:color w:val="555555"/>
          <w:sz w:val="21"/>
          <w:szCs w:val="21"/>
        </w:rPr>
        <w:t>Alexander von Humboldt Foundation – Feodor Lynen Research Fellowship for Postdoctoral Researchers</w:t>
      </w:r>
    </w:p>
    <w:p w14:paraId="3E2901D6" w14:textId="77777777" w:rsidR="001761AA" w:rsidRDefault="001761AA">
      <w:pPr>
        <w:pStyle w:val="NormalWeb"/>
        <w:rPr>
          <w:rFonts w:ascii="Arial" w:hAnsi="Arial" w:cs="Arial"/>
          <w:sz w:val="21"/>
          <w:szCs w:val="21"/>
        </w:rPr>
      </w:pPr>
      <w:r>
        <w:rPr>
          <w:rFonts w:ascii="Arial" w:hAnsi="Arial" w:cs="Arial"/>
          <w:sz w:val="21"/>
          <w:szCs w:val="21"/>
        </w:rPr>
        <w:t> </w:t>
      </w:r>
    </w:p>
    <w:p w14:paraId="46383E51" w14:textId="77777777" w:rsidR="001761AA" w:rsidRDefault="001761AA">
      <w:pPr>
        <w:pStyle w:val="NormalWeb"/>
        <w:rPr>
          <w:rFonts w:ascii="Arial" w:hAnsi="Arial" w:cs="Arial"/>
          <w:sz w:val="21"/>
          <w:szCs w:val="21"/>
        </w:rPr>
      </w:pPr>
      <w:r>
        <w:rPr>
          <w:rFonts w:ascii="Arial" w:hAnsi="Arial" w:cs="Arial"/>
          <w:sz w:val="21"/>
          <w:szCs w:val="21"/>
        </w:rPr>
        <w:t> </w:t>
      </w:r>
    </w:p>
    <w:p w14:paraId="76BB7F84" w14:textId="77777777" w:rsidR="001761AA" w:rsidRDefault="001761AA">
      <w:pPr>
        <w:pStyle w:val="NormalWeb"/>
        <w:rPr>
          <w:rFonts w:ascii="Arial" w:hAnsi="Arial" w:cs="Arial"/>
          <w:sz w:val="21"/>
          <w:szCs w:val="21"/>
        </w:rPr>
      </w:pPr>
      <w:r>
        <w:rPr>
          <w:rFonts w:ascii="Arial" w:hAnsi="Arial" w:cs="Arial"/>
          <w:sz w:val="21"/>
          <w:szCs w:val="21"/>
        </w:rPr>
        <w:t> </w:t>
      </w:r>
    </w:p>
    <w:p w14:paraId="1217DFD8" w14:textId="77777777" w:rsidR="001761AA" w:rsidRDefault="001761AA">
      <w:pPr>
        <w:pStyle w:val="center"/>
        <w:spacing w:before="0" w:beforeAutospacing="0" w:after="140"/>
        <w:rPr>
          <w:rFonts w:ascii="Arial" w:hAnsi="Arial" w:cs="Arial"/>
          <w:sz w:val="30"/>
          <w:szCs w:val="30"/>
        </w:rPr>
      </w:pPr>
      <w:r>
        <w:rPr>
          <w:rFonts w:ascii="Arial" w:hAnsi="Arial" w:cs="Arial"/>
          <w:b/>
          <w:bCs/>
          <w:sz w:val="30"/>
          <w:szCs w:val="30"/>
        </w:rPr>
        <w:t>Application for a Feodor Lynen Research Fellowship</w:t>
      </w:r>
    </w:p>
    <w:p w14:paraId="38F322BB" w14:textId="77777777" w:rsidR="001761AA" w:rsidRDefault="001761AA">
      <w:pPr>
        <w:pStyle w:val="NormalWeb"/>
        <w:rPr>
          <w:rFonts w:ascii="Arial" w:hAnsi="Arial" w:cs="Arial"/>
          <w:sz w:val="21"/>
          <w:szCs w:val="21"/>
        </w:rPr>
      </w:pPr>
      <w:r>
        <w:rPr>
          <w:rFonts w:ascii="Arial" w:hAnsi="Arial" w:cs="Arial"/>
          <w:sz w:val="21"/>
          <w:szCs w:val="21"/>
        </w:rPr>
        <w:t> </w:t>
      </w:r>
    </w:p>
    <w:p w14:paraId="628841CA" w14:textId="77777777" w:rsidR="001761AA" w:rsidRDefault="001761AA">
      <w:pPr>
        <w:pStyle w:val="center"/>
        <w:spacing w:before="0" w:beforeAutospacing="0" w:after="140"/>
        <w:rPr>
          <w:rFonts w:ascii="Arial" w:hAnsi="Arial" w:cs="Arial"/>
          <w:sz w:val="26"/>
          <w:szCs w:val="26"/>
        </w:rPr>
      </w:pPr>
      <w:r>
        <w:rPr>
          <w:rFonts w:ascii="Arial" w:hAnsi="Arial" w:cs="Arial"/>
          <w:b/>
          <w:bCs/>
          <w:sz w:val="26"/>
          <w:szCs w:val="26"/>
        </w:rPr>
        <w:t>Covalency as an Experimental Descriptor of Memristive Switching: the La</w:t>
      </w:r>
      <w:r>
        <w:rPr>
          <w:rFonts w:ascii="Arial" w:hAnsi="Arial" w:cs="Arial"/>
          <w:b/>
          <w:bCs/>
          <w:sz w:val="26"/>
          <w:szCs w:val="26"/>
          <w:vertAlign w:val="subscript"/>
        </w:rPr>
        <w:t>1-x</w:t>
      </w:r>
      <w:r>
        <w:rPr>
          <w:rFonts w:ascii="Arial" w:hAnsi="Arial" w:cs="Arial"/>
          <w:b/>
          <w:bCs/>
          <w:sz w:val="26"/>
          <w:szCs w:val="26"/>
        </w:rPr>
        <w:t>Sr</w:t>
      </w:r>
      <w:r>
        <w:rPr>
          <w:rFonts w:ascii="Arial" w:hAnsi="Arial" w:cs="Arial"/>
          <w:b/>
          <w:bCs/>
          <w:sz w:val="26"/>
          <w:szCs w:val="26"/>
          <w:vertAlign w:val="subscript"/>
        </w:rPr>
        <w:t>x</w:t>
      </w:r>
      <w:r>
        <w:rPr>
          <w:rFonts w:ascii="Arial" w:hAnsi="Arial" w:cs="Arial"/>
          <w:b/>
          <w:bCs/>
          <w:sz w:val="26"/>
          <w:szCs w:val="26"/>
        </w:rPr>
        <w:t>FeO</w:t>
      </w:r>
      <w:r>
        <w:rPr>
          <w:rFonts w:ascii="Arial" w:hAnsi="Arial" w:cs="Arial"/>
          <w:b/>
          <w:bCs/>
          <w:sz w:val="26"/>
          <w:szCs w:val="26"/>
          <w:vertAlign w:val="subscript"/>
        </w:rPr>
        <w:t>3-δ</w:t>
      </w:r>
      <w:r>
        <w:rPr>
          <w:rFonts w:ascii="Arial" w:hAnsi="Arial" w:cs="Arial"/>
          <w:b/>
          <w:bCs/>
          <w:sz w:val="26"/>
          <w:szCs w:val="26"/>
        </w:rPr>
        <w:t xml:space="preserve"> Model Series</w:t>
      </w:r>
    </w:p>
    <w:p w14:paraId="2050C4C4" w14:textId="77777777" w:rsidR="001761AA" w:rsidRDefault="001761AA">
      <w:pPr>
        <w:pStyle w:val="NormalWeb"/>
        <w:rPr>
          <w:rFonts w:ascii="Arial" w:hAnsi="Arial" w:cs="Arial"/>
          <w:sz w:val="21"/>
          <w:szCs w:val="21"/>
        </w:rPr>
      </w:pPr>
      <w:r>
        <w:rPr>
          <w:rFonts w:ascii="Arial" w:hAnsi="Arial" w:cs="Arial"/>
          <w:sz w:val="21"/>
          <w:szCs w:val="21"/>
        </w:rPr>
        <w:t> </w:t>
      </w:r>
    </w:p>
    <w:p w14:paraId="559959A2" w14:textId="77777777" w:rsidR="001761AA" w:rsidRDefault="001761AA">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898"/>
        <w:gridCol w:w="6158"/>
      </w:tblGrid>
      <w:tr w:rsidR="00000000" w14:paraId="6D38D072" w14:textId="77777777">
        <w:tc>
          <w:tcPr>
            <w:tcW w:w="16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7109229" w14:textId="77777777" w:rsidR="001761AA" w:rsidRDefault="001761AA">
            <w:pPr>
              <w:spacing w:before="120" w:after="200"/>
              <w:rPr>
                <w:rFonts w:ascii="Arial" w:eastAsia="Times New Roman" w:hAnsi="Arial" w:cs="Arial"/>
                <w:sz w:val="19"/>
                <w:szCs w:val="19"/>
              </w:rPr>
            </w:pPr>
            <w:r>
              <w:rPr>
                <w:rFonts w:ascii="Arial" w:eastAsia="Times New Roman" w:hAnsi="Arial" w:cs="Arial"/>
                <w:b/>
                <w:bCs/>
                <w:sz w:val="19"/>
                <w:szCs w:val="19"/>
              </w:rPr>
              <w:t>Applicant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1C427D4"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Dr. Max Buczek, Postdoctoral Researcher, Peter Grünberg Institute (PGI-7), Forschungszentrum Jülich, Germany</w:t>
            </w:r>
          </w:p>
        </w:tc>
      </w:tr>
      <w:tr w:rsidR="00000000" w14:paraId="1BBE967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7A19CDA" w14:textId="77777777" w:rsidR="001761AA" w:rsidRDefault="001761AA">
            <w:pPr>
              <w:spacing w:before="120" w:after="200"/>
              <w:rPr>
                <w:rFonts w:ascii="Arial" w:eastAsia="Times New Roman" w:hAnsi="Arial" w:cs="Arial"/>
                <w:sz w:val="19"/>
                <w:szCs w:val="19"/>
              </w:rPr>
            </w:pPr>
            <w:r>
              <w:rPr>
                <w:rFonts w:ascii="Arial" w:eastAsia="Times New Roman" w:hAnsi="Arial" w:cs="Arial"/>
                <w:b/>
                <w:bCs/>
                <w:sz w:val="19"/>
                <w:szCs w:val="19"/>
              </w:rPr>
              <w:t>Host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0B1F5A"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 xml:space="preserve">Prof. Dr. William C. Chueh, Department of Materials Science and Engineering, Stanford University, USA – </w:t>
            </w:r>
            <w:r>
              <w:rPr>
                <w:rFonts w:ascii="Arial" w:eastAsia="Times New Roman" w:hAnsi="Arial" w:cs="Arial"/>
                <w:sz w:val="19"/>
                <w:szCs w:val="19"/>
              </w:rPr>
              <w:t>Friedrich Wilhelm Bessel Research Award winner of the AvH Foundation (2021), member of the Humboldt Network</w:t>
            </w:r>
          </w:p>
        </w:tc>
      </w:tr>
      <w:tr w:rsidR="00000000" w14:paraId="398B6AF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9F13BE" w14:textId="77777777" w:rsidR="001761AA" w:rsidRDefault="001761AA">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6C548EC"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Stanford University / SLAC National Accelerator Laboratory (Stanford Synchrotron Radiation Lightsource, SSRL)</w:t>
            </w:r>
          </w:p>
        </w:tc>
      </w:tr>
      <w:tr w:rsidR="00000000" w14:paraId="7809904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493486B" w14:textId="77777777" w:rsidR="001761AA" w:rsidRDefault="001761AA">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4DFDAD"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24 months, starting [e.g. Q2/2027; fellowship must begin 2–12 months after the selection meeting]</w:t>
            </w:r>
          </w:p>
        </w:tc>
      </w:tr>
      <w:tr w:rsidR="00000000" w14:paraId="67CAC4F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1F15ACD" w14:textId="77777777" w:rsidR="001761AA" w:rsidRDefault="001761AA">
            <w:pPr>
              <w:spacing w:before="120" w:after="200"/>
              <w:rPr>
                <w:rFonts w:ascii="Arial" w:eastAsia="Times New Roman" w:hAnsi="Arial" w:cs="Arial"/>
                <w:sz w:val="19"/>
                <w:szCs w:val="19"/>
              </w:rPr>
            </w:pPr>
            <w:r>
              <w:rPr>
                <w:rFonts w:ascii="Arial" w:eastAsia="Times New Roman" w:hAnsi="Arial" w:cs="Arial"/>
                <w:b/>
                <w:bCs/>
                <w:sz w:val="19"/>
                <w:szCs w:val="19"/>
              </w:rPr>
              <w:t>Programme line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351DF3"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Postdoctoral researchers (doctorate 2026, i.e. within the four-year window)</w:t>
            </w:r>
          </w:p>
        </w:tc>
      </w:tr>
      <w:tr w:rsidR="00000000" w14:paraId="5D9E871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8F277AA" w14:textId="77777777" w:rsidR="001761AA" w:rsidRDefault="001761AA">
            <w:pPr>
              <w:spacing w:before="120" w:after="200"/>
              <w:rPr>
                <w:rFonts w:ascii="Arial" w:eastAsia="Times New Roman" w:hAnsi="Arial" w:cs="Arial"/>
                <w:sz w:val="19"/>
                <w:szCs w:val="19"/>
              </w:rPr>
            </w:pPr>
            <w:r>
              <w:rPr>
                <w:rFonts w:ascii="Arial" w:eastAsia="Times New Roman" w:hAnsi="Arial" w:cs="Arial"/>
                <w:b/>
                <w:bCs/>
                <w:sz w:val="19"/>
                <w:szCs w:val="19"/>
              </w:rPr>
              <w:t>Targeted selection round</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E5A959"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[February/June/October; submission recommended 4–7 months in advance]</w:t>
            </w:r>
          </w:p>
        </w:tc>
      </w:tr>
    </w:tbl>
    <w:p w14:paraId="25B122F9" w14:textId="77777777" w:rsidR="001761AA" w:rsidRDefault="001761AA">
      <w:pPr>
        <w:pStyle w:val="NormalWeb"/>
        <w:rPr>
          <w:rFonts w:ascii="Arial" w:hAnsi="Arial" w:cs="Arial"/>
          <w:sz w:val="21"/>
          <w:szCs w:val="21"/>
        </w:rPr>
      </w:pPr>
      <w:r>
        <w:rPr>
          <w:rFonts w:ascii="Arial" w:hAnsi="Arial" w:cs="Arial"/>
          <w:sz w:val="21"/>
          <w:szCs w:val="21"/>
        </w:rPr>
        <w:t> </w:t>
      </w:r>
    </w:p>
    <w:p w14:paraId="179764FB" w14:textId="77777777" w:rsidR="001761AA" w:rsidRDefault="001761AA">
      <w:pPr>
        <w:pStyle w:val="muted"/>
        <w:spacing w:before="0" w:beforeAutospacing="0" w:after="140"/>
        <w:rPr>
          <w:rFonts w:ascii="Arial" w:hAnsi="Arial" w:cs="Arial"/>
        </w:rPr>
      </w:pPr>
      <w:r>
        <w:rPr>
          <w:rFonts w:ascii="Arial" w:hAnsi="Arial" w:cs="Arial"/>
        </w:rPr>
        <w:t>Note: This document contains the research proposal (exposé, max. 5 pages according to AvH requirements) and a checklist of the further application documents. The project is the 24-month nucleus, tailored to a research stay abroad, of the applicant’s longer-term research programme (Emmy Noether/ERC perspective after returning to Germany); per AvH requirements, the exposé must be coordinated with the host before submission.</w:t>
      </w:r>
    </w:p>
    <w:p w14:paraId="26099F57" w14:textId="77777777" w:rsidR="001761AA" w:rsidRDefault="001761AA">
      <w:pPr>
        <w:pStyle w:val="Heading1"/>
        <w:pageBreakBefore/>
        <w:rPr>
          <w:rFonts w:ascii="Arial" w:eastAsia="Times New Roman" w:hAnsi="Arial" w:cs="Arial"/>
        </w:rPr>
      </w:pPr>
      <w:r>
        <w:rPr>
          <w:rFonts w:ascii="Arial" w:eastAsia="Times New Roman" w:hAnsi="Arial" w:cs="Arial"/>
        </w:rPr>
        <w:lastRenderedPageBreak/>
        <w:t>Research Proposal (Exposé)</w:t>
      </w:r>
    </w:p>
    <w:p w14:paraId="5A32A23F" w14:textId="77777777" w:rsidR="001761AA" w:rsidRDefault="001761AA">
      <w:pPr>
        <w:pStyle w:val="Heading2"/>
        <w:rPr>
          <w:rFonts w:ascii="Arial" w:eastAsia="Times New Roman" w:hAnsi="Arial" w:cs="Arial"/>
        </w:rPr>
      </w:pPr>
      <w:r>
        <w:rPr>
          <w:rFonts w:ascii="Arial" w:eastAsia="Times New Roman" w:hAnsi="Arial" w:cs="Arial"/>
        </w:rPr>
        <w:t>1  Research question and scientific significance</w:t>
      </w:r>
    </w:p>
    <w:p w14:paraId="63873C54" w14:textId="77777777" w:rsidR="001761AA" w:rsidRDefault="001761AA">
      <w:pPr>
        <w:pStyle w:val="NormalWeb"/>
        <w:rPr>
          <w:rFonts w:ascii="Arial" w:hAnsi="Arial" w:cs="Arial"/>
          <w:sz w:val="21"/>
          <w:szCs w:val="21"/>
        </w:rPr>
      </w:pPr>
      <w:r>
        <w:rPr>
          <w:rFonts w:ascii="Arial" w:hAnsi="Arial" w:cs="Arial"/>
          <w:sz w:val="21"/>
          <w:szCs w:val="21"/>
        </w:rPr>
        <w:t>Memristive devices based on the valence change mechanism (VCM) switch their resistance through field-driven creation and migration of oxygen vacancies (V</w:t>
      </w:r>
      <w:r>
        <w:rPr>
          <w:rFonts w:ascii="Arial" w:hAnsi="Arial" w:cs="Arial"/>
          <w:sz w:val="21"/>
          <w:szCs w:val="21"/>
          <w:vertAlign w:val="subscript"/>
        </w:rPr>
        <w:t>O</w:t>
      </w:r>
      <w:r>
        <w:rPr>
          <w:rFonts w:ascii="Arial" w:hAnsi="Arial" w:cs="Arial"/>
          <w:sz w:val="21"/>
          <w:szCs w:val="21"/>
        </w:rPr>
        <w:t>) [1–3]. The oxygen-vacancy formation energy (E</w:t>
      </w:r>
      <w:r>
        <w:rPr>
          <w:rFonts w:ascii="Arial" w:hAnsi="Arial" w:cs="Arial"/>
          <w:sz w:val="21"/>
          <w:szCs w:val="21"/>
          <w:vertAlign w:val="subscript"/>
        </w:rPr>
        <w:t>V</w:t>
      </w:r>
      <w:r>
        <w:rPr>
          <w:rFonts w:ascii="Arial" w:hAnsi="Arial" w:cs="Arial"/>
          <w:sz w:val="21"/>
          <w:szCs w:val="21"/>
        </w:rPr>
        <w:t>) enters all quantitative switching models exponentially [3, 4] – and yet it has never been measured systematically how E</w:t>
      </w:r>
      <w:r>
        <w:rPr>
          <w:rFonts w:ascii="Arial" w:hAnsi="Arial" w:cs="Arial"/>
          <w:sz w:val="21"/>
          <w:szCs w:val="21"/>
          <w:vertAlign w:val="subscript"/>
        </w:rPr>
        <w:t>V</w:t>
      </w:r>
      <w:r>
        <w:rPr>
          <w:rFonts w:ascii="Arial" w:hAnsi="Arial" w:cs="Arial"/>
          <w:sz w:val="21"/>
          <w:szCs w:val="21"/>
        </w:rPr>
        <w:t xml:space="preserve"> </w:t>
      </w:r>
      <w:r>
        <w:rPr>
          <w:rFonts w:ascii="Arial" w:hAnsi="Arial" w:cs="Arial"/>
          <w:sz w:val="21"/>
          <w:szCs w:val="21"/>
        </w:rPr>
        <w:t>determines the central figures of merit (ON/OFF ratio, forming voltage, retention). Energy research, by contrast, has quantitatively established that E</w:t>
      </w:r>
      <w:r>
        <w:rPr>
          <w:rFonts w:ascii="Arial" w:hAnsi="Arial" w:cs="Arial"/>
          <w:sz w:val="21"/>
          <w:szCs w:val="21"/>
          <w:vertAlign w:val="subscript"/>
        </w:rPr>
        <w:t>V</w:t>
      </w:r>
      <w:r>
        <w:rPr>
          <w:rFonts w:ascii="Arial" w:hAnsi="Arial" w:cs="Arial"/>
          <w:sz w:val="21"/>
          <w:szCs w:val="21"/>
        </w:rPr>
        <w:t xml:space="preserve"> in perovskites is controlled by the metal–oxygen covalency: the O-2p band centre scales linearly with E</w:t>
      </w:r>
      <w:r>
        <w:rPr>
          <w:rFonts w:ascii="Arial" w:hAnsi="Arial" w:cs="Arial"/>
          <w:sz w:val="21"/>
          <w:szCs w:val="21"/>
          <w:vertAlign w:val="subscript"/>
        </w:rPr>
        <w:t>V</w:t>
      </w:r>
      <w:r>
        <w:rPr>
          <w:rFonts w:ascii="Arial" w:hAnsi="Arial" w:cs="Arial"/>
          <w:sz w:val="21"/>
          <w:szCs w:val="21"/>
        </w:rPr>
        <w:t xml:space="preserve"> and serves as a descriptor for catalysis and oxygen transport [5–8]. My project connects these two worlds experimentally for the first time – using the ideally suited model series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(LSFO).</w:t>
      </w:r>
    </w:p>
    <w:p w14:paraId="56223C81" w14:textId="77777777" w:rsidR="001761AA" w:rsidRDefault="001761AA">
      <w:pPr>
        <w:pStyle w:val="NormalWeb"/>
        <w:rPr>
          <w:rFonts w:ascii="Arial" w:hAnsi="Arial" w:cs="Arial"/>
          <w:sz w:val="21"/>
          <w:szCs w:val="21"/>
        </w:rPr>
      </w:pPr>
      <w:r>
        <w:rPr>
          <w:rFonts w:ascii="Arial" w:hAnsi="Arial" w:cs="Arial"/>
          <w:sz w:val="21"/>
          <w:szCs w:val="21"/>
        </w:rPr>
        <w:t>LSFO is the perfect test system: substituting La</w:t>
      </w:r>
      <w:r>
        <w:rPr>
          <w:rFonts w:ascii="Arial" w:hAnsi="Arial" w:cs="Arial"/>
          <w:sz w:val="21"/>
          <w:szCs w:val="21"/>
          <w:vertAlign w:val="superscript"/>
        </w:rPr>
        <w:t>3+</w:t>
      </w:r>
      <w:r>
        <w:rPr>
          <w:rFonts w:ascii="Arial" w:hAnsi="Arial" w:cs="Arial"/>
          <w:sz w:val="21"/>
          <w:szCs w:val="21"/>
        </w:rPr>
        <w:t xml:space="preserve"> </w:t>
      </w:r>
      <w:r>
        <w:rPr>
          <w:rFonts w:ascii="Arial" w:hAnsi="Arial" w:cs="Arial"/>
          <w:sz w:val="21"/>
          <w:szCs w:val="21"/>
        </w:rPr>
        <w:t>by Sr</w:t>
      </w:r>
      <w:r>
        <w:rPr>
          <w:rFonts w:ascii="Arial" w:hAnsi="Arial" w:cs="Arial"/>
          <w:sz w:val="21"/>
          <w:szCs w:val="21"/>
          <w:vertAlign w:val="superscript"/>
        </w:rPr>
        <w:t>2+</w:t>
      </w:r>
      <w:r>
        <w:rPr>
          <w:rFonts w:ascii="Arial" w:hAnsi="Arial" w:cs="Arial"/>
          <w:sz w:val="21"/>
          <w:szCs w:val="21"/>
        </w:rPr>
        <w:t xml:space="preserve"> lowers E</w:t>
      </w:r>
      <w:r>
        <w:rPr>
          <w:rFonts w:ascii="Arial" w:hAnsi="Arial" w:cs="Arial"/>
          <w:sz w:val="21"/>
          <w:szCs w:val="21"/>
          <w:vertAlign w:val="subscript"/>
        </w:rPr>
        <w:t>V</w:t>
      </w:r>
      <w:r>
        <w:rPr>
          <w:rFonts w:ascii="Arial" w:hAnsi="Arial" w:cs="Arial"/>
          <w:sz w:val="21"/>
          <w:szCs w:val="21"/>
        </w:rPr>
        <w:t xml:space="preserve"> continuously from about 4 eV (x = 0) to below 1 eV (x = 0.5) [9] and increases the Fe–O covalency measurably in the O-K pre-edge of X-ray absorption [10, 11] – at unchanged perovskite structure. Both end members are documented switching materials: SrFeO</w:t>
      </w:r>
      <w:r>
        <w:rPr>
          <w:rFonts w:ascii="Arial" w:hAnsi="Arial" w:cs="Arial"/>
          <w:sz w:val="21"/>
          <w:szCs w:val="21"/>
          <w:vertAlign w:val="subscript"/>
        </w:rPr>
        <w:t>3-δ</w:t>
      </w:r>
      <w:r>
        <w:rPr>
          <w:rFonts w:ascii="Arial" w:hAnsi="Arial" w:cs="Arial"/>
          <w:sz w:val="21"/>
          <w:szCs w:val="21"/>
        </w:rPr>
        <w:t>/SrFeO</w:t>
      </w:r>
      <w:r>
        <w:rPr>
          <w:rFonts w:ascii="Arial" w:hAnsi="Arial" w:cs="Arial"/>
          <w:sz w:val="21"/>
          <w:szCs w:val="21"/>
          <w:vertAlign w:val="subscript"/>
        </w:rPr>
        <w:t>2.5</w:t>
      </w:r>
      <w:r>
        <w:rPr>
          <w:rFonts w:ascii="Arial" w:hAnsi="Arial" w:cs="Arial"/>
          <w:sz w:val="21"/>
          <w:szCs w:val="21"/>
        </w:rPr>
        <w:t xml:space="preserve"> switches topotactically with ON/OFF ratios around 10</w:t>
      </w:r>
      <w:r>
        <w:rPr>
          <w:rFonts w:ascii="Arial" w:hAnsi="Arial" w:cs="Arial"/>
          <w:sz w:val="21"/>
          <w:szCs w:val="21"/>
          <w:vertAlign w:val="superscript"/>
        </w:rPr>
        <w:t>4</w:t>
      </w:r>
      <w:r>
        <w:rPr>
          <w:rFonts w:ascii="Arial" w:hAnsi="Arial" w:cs="Arial"/>
          <w:sz w:val="21"/>
          <w:szCs w:val="21"/>
        </w:rPr>
        <w:t xml:space="preserve"> [12, 13], while LaFeO</w:t>
      </w:r>
      <w:r>
        <w:rPr>
          <w:rFonts w:ascii="Arial" w:hAnsi="Arial" w:cs="Arial"/>
          <w:sz w:val="21"/>
          <w:szCs w:val="21"/>
          <w:vertAlign w:val="subscript"/>
        </w:rPr>
        <w:t>3</w:t>
      </w:r>
      <w:r>
        <w:rPr>
          <w:rFonts w:ascii="Arial" w:hAnsi="Arial" w:cs="Arial"/>
          <w:sz w:val="21"/>
          <w:szCs w:val="21"/>
        </w:rPr>
        <w:t xml:space="preserve">, a robust insulator, is only rudimentarily switching-active [14]. For the intermediate compositions, however, not a single memristor study exists – </w:t>
      </w:r>
      <w:r>
        <w:rPr>
          <w:rFonts w:ascii="Arial" w:hAnsi="Arial" w:cs="Arial"/>
          <w:sz w:val="21"/>
          <w:szCs w:val="21"/>
        </w:rPr>
        <w:t>a gap secured by my systematic literature analysis. The closest existing work controls the conductivity of La</w:t>
      </w:r>
      <w:r>
        <w:rPr>
          <w:rFonts w:ascii="Arial" w:hAnsi="Arial" w:cs="Arial"/>
          <w:sz w:val="21"/>
          <w:szCs w:val="21"/>
          <w:vertAlign w:val="subscript"/>
        </w:rPr>
        <w:t>0.5</w:t>
      </w:r>
      <w:r>
        <w:rPr>
          <w:rFonts w:ascii="Arial" w:hAnsi="Arial" w:cs="Arial"/>
          <w:sz w:val="21"/>
          <w:szCs w:val="21"/>
        </w:rPr>
        <w:t>Sr</w:t>
      </w:r>
      <w:r>
        <w:rPr>
          <w:rFonts w:ascii="Arial" w:hAnsi="Arial" w:cs="Arial"/>
          <w:sz w:val="21"/>
          <w:szCs w:val="21"/>
          <w:vertAlign w:val="subscript"/>
        </w:rPr>
        <w:t>0.5</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electrochemically over four orders of magnitude [15], demonstrating feasibility without answering the memristor question. The few stoichiometry-dependent switching studies on related manganites consistently show a </w:t>
      </w:r>
      <w:r>
        <w:rPr>
          <w:rFonts w:ascii="Arial" w:hAnsi="Arial" w:cs="Arial"/>
          <w:i/>
          <w:iCs/>
          <w:sz w:val="21"/>
          <w:szCs w:val="21"/>
        </w:rPr>
        <w:t>non-monotonic optimum</w:t>
      </w:r>
      <w:r>
        <w:rPr>
          <w:rFonts w:ascii="Arial" w:hAnsi="Arial" w:cs="Arial"/>
          <w:sz w:val="21"/>
          <w:szCs w:val="21"/>
        </w:rPr>
        <w:t xml:space="preserve"> of the switching window with doping [16, 17] – </w:t>
      </w:r>
      <w:r>
        <w:rPr>
          <w:rFonts w:ascii="Arial" w:hAnsi="Arial" w:cs="Arial"/>
          <w:sz w:val="21"/>
          <w:szCs w:val="21"/>
        </w:rPr>
        <w:t>my central hypothesis is therefore that the usable switching window of LSFO is maximal at intermediate covalency (“Goldilocks zone”) and that this position can be predicted from the XAS covalency descriptor. A known design constraint is addressed head-on: near the Sr-rich end member the switching mechanism changes character (topotactic brownmillerite transition [12, 13]) – the series therefore doubles as a controlled approach to a mechanism boundary, which is itself charted rather than avoided.</w:t>
      </w:r>
    </w:p>
    <w:p w14:paraId="7A780078" w14:textId="77777777" w:rsidR="001761AA" w:rsidRDefault="001761AA">
      <w:pPr>
        <w:pStyle w:val="Heading2"/>
        <w:rPr>
          <w:rFonts w:ascii="Arial" w:eastAsia="Times New Roman" w:hAnsi="Arial" w:cs="Arial"/>
        </w:rPr>
      </w:pPr>
      <w:r>
        <w:rPr>
          <w:rFonts w:ascii="Arial" w:eastAsia="Times New Roman" w:hAnsi="Arial" w:cs="Arial"/>
        </w:rPr>
        <w:t>2  </w:t>
      </w:r>
      <w:r>
        <w:rPr>
          <w:rFonts w:ascii="Arial" w:eastAsia="Times New Roman" w:hAnsi="Arial" w:cs="Arial"/>
        </w:rPr>
        <w:t>Why the Chueh group at Stanford is the ideal place</w:t>
      </w:r>
    </w:p>
    <w:p w14:paraId="68B6F31A" w14:textId="77777777" w:rsidR="001761AA" w:rsidRDefault="001761AA">
      <w:pPr>
        <w:pStyle w:val="NormalWeb"/>
        <w:rPr>
          <w:rFonts w:ascii="Arial" w:hAnsi="Arial" w:cs="Arial"/>
          <w:sz w:val="21"/>
          <w:szCs w:val="21"/>
        </w:rPr>
      </w:pPr>
      <w:r>
        <w:rPr>
          <w:rFonts w:ascii="Arial" w:hAnsi="Arial" w:cs="Arial"/>
          <w:sz w:val="21"/>
          <w:szCs w:val="21"/>
        </w:rPr>
        <w:t>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perovskite thin films [18–20]. The group’</w:t>
      </w:r>
      <w:r>
        <w:rPr>
          <w:rFonts w:ascii="Arial" w:hAnsi="Arial" w:cs="Arial"/>
          <w:sz w:val="21"/>
          <w:szCs w:val="21"/>
        </w:rPr>
        <w:t>s seminal work on the redox activity of oxygen anions in oxygen-deficient perovskites [19] is a direct methodological blueprint for my project; the Nature Materials study on atomically defined LaNiO</w:t>
      </w:r>
      <w:r>
        <w:rPr>
          <w:rFonts w:ascii="Arial" w:hAnsi="Arial" w:cs="Arial"/>
          <w:sz w:val="21"/>
          <w:szCs w:val="21"/>
          <w:vertAlign w:val="subscript"/>
        </w:rPr>
        <w:t>3</w:t>
      </w:r>
      <w:r>
        <w:rPr>
          <w:rFonts w:ascii="Arial" w:hAnsi="Arial" w:cs="Arial"/>
          <w:sz w:val="21"/>
          <w:szCs w:val="21"/>
        </w:rPr>
        <w:t xml:space="preserve"> surfaces [20] – with Christoph Baeumer from the Jülich school as first author – </w:t>
      </w:r>
      <w:r>
        <w:rPr>
          <w:rFonts w:ascii="Arial" w:hAnsi="Arial" w:cs="Arial"/>
          <w:sz w:val="21"/>
          <w:szCs w:val="21"/>
        </w:rPr>
        <w:t>furthermore demonstrates that the group routinely masters epitaxial perovskite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w:t>
      </w:r>
      <w:r>
        <w:rPr>
          <w:rFonts w:ascii="Arial" w:hAnsi="Arial" w:cs="Arial"/>
          <w:sz w:val="21"/>
          <w:szCs w:val="21"/>
        </w:rPr>
        <w:t xml:space="preserve"> at the Peter Gr</w:t>
      </w:r>
      <w:r>
        <w:rPr>
          <w:rFonts w:ascii="Arial" w:hAnsi="Arial" w:cs="Arial"/>
          <w:sz w:val="21"/>
          <w:szCs w:val="21"/>
        </w:rPr>
        <w:t>ünberg Institute (PGI-7, group of Prof. Dittmann) [E1–E3]. The constellation is thus a genuine two-way transfer of knowledge. For complementary epitaxial growth questions, the environment of the Stanford Institute for Materials and Energy Sciences (SIMES) at SLAC is available. As a Bessel Research Award winner (2021), Prof. Chueh is a member of the Humboldt Network and has repeatedly hosted German postdocs – the host eligibility required by the programme is given.</w:t>
      </w:r>
    </w:p>
    <w:p w14:paraId="4D9921DC" w14:textId="77777777" w:rsidR="001761AA" w:rsidRDefault="001761AA">
      <w:pPr>
        <w:pStyle w:val="Heading2"/>
        <w:rPr>
          <w:rFonts w:ascii="Arial" w:eastAsia="Times New Roman" w:hAnsi="Arial" w:cs="Arial"/>
        </w:rPr>
      </w:pPr>
      <w:r>
        <w:rPr>
          <w:rFonts w:ascii="Arial" w:eastAsia="Times New Roman" w:hAnsi="Arial" w:cs="Arial"/>
        </w:rPr>
        <w:t>3  Work programme (24 months)</w:t>
      </w:r>
    </w:p>
    <w:p w14:paraId="06B4C09A" w14:textId="77777777" w:rsidR="001761AA" w:rsidRDefault="001761AA">
      <w:pPr>
        <w:pStyle w:val="Heading3"/>
        <w:rPr>
          <w:rFonts w:ascii="Arial" w:eastAsia="Times New Roman" w:hAnsi="Arial" w:cs="Arial"/>
        </w:rPr>
      </w:pPr>
      <w:r>
        <w:rPr>
          <w:rFonts w:ascii="Arial" w:eastAsia="Times New Roman" w:hAnsi="Arial" w:cs="Arial"/>
        </w:rPr>
        <w:t xml:space="preserve">WP1 – </w:t>
      </w:r>
      <w:r>
        <w:rPr>
          <w:rFonts w:ascii="Arial" w:eastAsia="Times New Roman" w:hAnsi="Arial" w:cs="Arial"/>
        </w:rPr>
        <w:t>Synthesis and descriptor measurement of the LSFO series (months 1–10)</w:t>
      </w:r>
    </w:p>
    <w:p w14:paraId="5F4D98F4" w14:textId="77777777" w:rsidR="001761AA" w:rsidRDefault="001761AA">
      <w:pPr>
        <w:pStyle w:val="NormalWeb"/>
        <w:rPr>
          <w:rFonts w:ascii="Arial" w:hAnsi="Arial" w:cs="Arial"/>
          <w:sz w:val="21"/>
          <w:szCs w:val="21"/>
        </w:rPr>
      </w:pPr>
      <w:r>
        <w:rPr>
          <w:rFonts w:ascii="Arial" w:hAnsi="Arial" w:cs="Arial"/>
          <w:sz w:val="21"/>
          <w:szCs w:val="21"/>
        </w:rPr>
        <w:t>PLD growth of epitaxial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films (x = 0; 0.2; 0.33; 0.5; 0.67; 1) on Nb:SrTiO</w:t>
      </w:r>
      <w:r>
        <w:rPr>
          <w:rFonts w:ascii="Arial" w:hAnsi="Arial" w:cs="Arial"/>
          <w:sz w:val="21"/>
          <w:szCs w:val="21"/>
          <w:vertAlign w:val="subscript"/>
        </w:rPr>
        <w:t>3</w:t>
      </w:r>
      <w:r>
        <w:rPr>
          <w:rFonts w:ascii="Arial" w:hAnsi="Arial" w:cs="Arial"/>
          <w:sz w:val="21"/>
          <w:szCs w:val="21"/>
        </w:rPr>
        <w:t xml:space="preserve"> substrates in the Stanford/SLAC thin-film laboratories; structural validation (XRD, AFM); determination of cation and oxygen stoichiometry (XPS, RBS where required). In parallel, first XAS campaign at SSRL: O-K pre-edge quantification following the procedure of Suntivich et al. [11] and Fe-L</w:t>
      </w:r>
      <w:r>
        <w:rPr>
          <w:rFonts w:ascii="Arial" w:hAnsi="Arial" w:cs="Arial"/>
          <w:sz w:val="21"/>
          <w:szCs w:val="21"/>
          <w:vertAlign w:val="subscript"/>
        </w:rPr>
        <w:t>2,3</w:t>
      </w:r>
      <w:r>
        <w:rPr>
          <w:rFonts w:ascii="Arial" w:hAnsi="Arial" w:cs="Arial"/>
          <w:sz w:val="21"/>
          <w:szCs w:val="21"/>
        </w:rPr>
        <w:t xml:space="preserve"> valence analysis for every composition → </w:t>
      </w:r>
      <w:r>
        <w:rPr>
          <w:rFonts w:ascii="Arial" w:hAnsi="Arial" w:cs="Arial"/>
          <w:sz w:val="21"/>
          <w:szCs w:val="21"/>
        </w:rPr>
        <w:t xml:space="preserve">experimental covalency scale of the series. </w:t>
      </w:r>
      <w:r>
        <w:rPr>
          <w:rFonts w:ascii="Arial" w:hAnsi="Arial" w:cs="Arial"/>
          <w:i/>
          <w:iCs/>
          <w:sz w:val="21"/>
          <w:szCs w:val="21"/>
        </w:rPr>
        <w:t>Milestone M1 (month 10): validated sample series with complete descriptor set.</w:t>
      </w:r>
    </w:p>
    <w:p w14:paraId="3EF1ADA5" w14:textId="77777777" w:rsidR="001761AA" w:rsidRDefault="001761AA">
      <w:pPr>
        <w:pStyle w:val="Heading3"/>
        <w:rPr>
          <w:rFonts w:ascii="Arial" w:eastAsia="Times New Roman" w:hAnsi="Arial" w:cs="Arial"/>
        </w:rPr>
      </w:pPr>
      <w:r>
        <w:rPr>
          <w:rFonts w:ascii="Arial" w:eastAsia="Times New Roman" w:hAnsi="Arial" w:cs="Arial"/>
        </w:rPr>
        <w:t>WP2 – Devices and switching characterisation (months 8–18)</w:t>
      </w:r>
    </w:p>
    <w:p w14:paraId="589F6716" w14:textId="77777777" w:rsidR="001761AA" w:rsidRDefault="001761AA">
      <w:pPr>
        <w:pStyle w:val="NormalWeb"/>
        <w:rPr>
          <w:rFonts w:ascii="Arial" w:hAnsi="Arial" w:cs="Arial"/>
          <w:sz w:val="21"/>
          <w:szCs w:val="21"/>
        </w:rPr>
      </w:pPr>
      <w:r>
        <w:rPr>
          <w:rFonts w:ascii="Arial" w:hAnsi="Arial" w:cs="Arial"/>
          <w:sz w:val="21"/>
          <w:szCs w:val="21"/>
        </w:rPr>
        <w:t>Processing of identical Pt/LSFO/Nb:SrTiO</w:t>
      </w:r>
      <w:r>
        <w:rPr>
          <w:rFonts w:ascii="Arial" w:hAnsi="Arial" w:cs="Arial"/>
          <w:sz w:val="21"/>
          <w:szCs w:val="21"/>
          <w:vertAlign w:val="subscript"/>
        </w:rPr>
        <w:t>3</w:t>
      </w:r>
      <w:r>
        <w:rPr>
          <w:rFonts w:ascii="Arial" w:hAnsi="Arial" w:cs="Arial"/>
          <w:sz w:val="21"/>
          <w:szCs w:val="21"/>
        </w:rPr>
        <w:t xml:space="preserve"> cell arrays (≥ </w:t>
      </w:r>
      <w:r>
        <w:rPr>
          <w:rFonts w:ascii="Arial" w:hAnsi="Arial" w:cs="Arial"/>
          <w:sz w:val="21"/>
          <w:szCs w:val="21"/>
        </w:rPr>
        <w:t xml:space="preserve">30 cells per composition) with photolithographic patterning; quasistatic and pulsed switching characterisation following the statistics protocol established in my doctorate (ON/OFF at defined read-out voltage, forming requirement, switching kinetics, temperature-accelerated retention, endurance). </w:t>
      </w:r>
      <w:r>
        <w:rPr>
          <w:rFonts w:ascii="Arial" w:hAnsi="Arial" w:cs="Arial"/>
          <w:i/>
          <w:iCs/>
          <w:sz w:val="21"/>
          <w:szCs w:val="21"/>
        </w:rPr>
        <w:t>Milestone M2 (month 18): switching figures of merit as a function of x with robust statistics.</w:t>
      </w:r>
    </w:p>
    <w:p w14:paraId="76429027" w14:textId="77777777" w:rsidR="001761AA" w:rsidRDefault="001761AA">
      <w:pPr>
        <w:pStyle w:val="Heading3"/>
        <w:rPr>
          <w:rFonts w:ascii="Arial" w:eastAsia="Times New Roman" w:hAnsi="Arial" w:cs="Arial"/>
        </w:rPr>
      </w:pPr>
      <w:r>
        <w:rPr>
          <w:rFonts w:ascii="Arial" w:eastAsia="Times New Roman" w:hAnsi="Arial" w:cs="Arial"/>
        </w:rPr>
        <w:t>WP3 – Correlation, operando validation and publication (months 16–24)</w:t>
      </w:r>
    </w:p>
    <w:p w14:paraId="72A12E36" w14:textId="77777777" w:rsidR="001761AA" w:rsidRDefault="001761AA">
      <w:pPr>
        <w:pStyle w:val="NormalWeb"/>
        <w:rPr>
          <w:rFonts w:ascii="Arial" w:hAnsi="Arial" w:cs="Arial"/>
          <w:sz w:val="21"/>
          <w:szCs w:val="21"/>
        </w:rPr>
      </w:pPr>
      <w:r>
        <w:rPr>
          <w:rFonts w:ascii="Arial" w:hAnsi="Arial" w:cs="Arial"/>
          <w:sz w:val="21"/>
          <w:szCs w:val="21"/>
        </w:rPr>
        <w:t>Correlation analysis covalency (XAS) ↔ E</w:t>
      </w:r>
      <w:r>
        <w:rPr>
          <w:rFonts w:ascii="Arial" w:hAnsi="Arial" w:cs="Arial"/>
          <w:sz w:val="21"/>
          <w:szCs w:val="21"/>
          <w:vertAlign w:val="subscript"/>
        </w:rPr>
        <w:t>V</w:t>
      </w:r>
      <w:r>
        <w:rPr>
          <w:rFonts w:ascii="Arial" w:hAnsi="Arial" w:cs="Arial"/>
          <w:sz w:val="21"/>
          <w:szCs w:val="21"/>
        </w:rPr>
        <w:t xml:space="preserve"> </w:t>
      </w:r>
      <w:r>
        <w:rPr>
          <w:rFonts w:ascii="Arial" w:hAnsi="Arial" w:cs="Arial"/>
          <w:sz w:val="21"/>
          <w:szCs w:val="21"/>
        </w:rPr>
        <w:t>(literature DFT [9]) ↔ switching metrics; test of the optimum hypothesis. Second SSRL campaign: XAS on switched cells (ex-situ before/after switching, operando if successful) to verify that the composition-dependent differences indeed rest on different V</w:t>
      </w:r>
      <w:r>
        <w:rPr>
          <w:rFonts w:ascii="Arial" w:hAnsi="Arial" w:cs="Arial"/>
          <w:sz w:val="21"/>
          <w:szCs w:val="21"/>
          <w:vertAlign w:val="subscript"/>
        </w:rPr>
        <w:t>O</w:t>
      </w:r>
      <w:r>
        <w:rPr>
          <w:rFonts w:ascii="Arial" w:hAnsi="Arial" w:cs="Arial"/>
          <w:sz w:val="21"/>
          <w:szCs w:val="21"/>
        </w:rPr>
        <w:t xml:space="preserve"> dynamics. Publication of the first covalency-resolved memristor study of a perovskite series; dataset released following FAIR principles. </w:t>
      </w:r>
      <w:r>
        <w:rPr>
          <w:rFonts w:ascii="Arial" w:hAnsi="Arial" w:cs="Arial"/>
          <w:i/>
          <w:iCs/>
          <w:sz w:val="21"/>
          <w:szCs w:val="21"/>
        </w:rPr>
        <w:t>Milestone M3 (month 24): submitted publication(s), public dataset.</w:t>
      </w:r>
    </w:p>
    <w:p w14:paraId="2C76CC2C" w14:textId="77777777" w:rsidR="001761AA" w:rsidRDefault="001761AA">
      <w:pPr>
        <w:pStyle w:val="Heading2"/>
        <w:rPr>
          <w:rFonts w:ascii="Arial" w:eastAsia="Times New Roman" w:hAnsi="Arial" w:cs="Arial"/>
        </w:rPr>
      </w:pPr>
      <w:r>
        <w:rPr>
          <w:rFonts w:ascii="Arial" w:eastAsia="Times New Roman" w:hAnsi="Arial" w:cs="Arial"/>
        </w:rPr>
        <w:t>4  Timeline</w:t>
      </w:r>
    </w:p>
    <w:tbl>
      <w:tblPr>
        <w:tblW w:w="5000" w:type="pct"/>
        <w:tblCellMar>
          <w:top w:w="15" w:type="dxa"/>
          <w:left w:w="15" w:type="dxa"/>
          <w:bottom w:w="15" w:type="dxa"/>
          <w:right w:w="15" w:type="dxa"/>
        </w:tblCellMar>
        <w:tblLook w:val="04A0" w:firstRow="1" w:lastRow="0" w:firstColumn="1" w:lastColumn="0" w:noHBand="0" w:noVBand="1"/>
      </w:tblPr>
      <w:tblGrid>
        <w:gridCol w:w="3623"/>
        <w:gridCol w:w="680"/>
        <w:gridCol w:w="679"/>
        <w:gridCol w:w="679"/>
        <w:gridCol w:w="679"/>
        <w:gridCol w:w="679"/>
        <w:gridCol w:w="679"/>
        <w:gridCol w:w="679"/>
        <w:gridCol w:w="679"/>
      </w:tblGrid>
      <w:tr w:rsidR="00000000" w14:paraId="7D7F09AD" w14:textId="77777777">
        <w:tc>
          <w:tcPr>
            <w:tcW w:w="2000" w:type="pct"/>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648385E1" w14:textId="77777777" w:rsidR="001761AA" w:rsidRDefault="001761AA">
            <w:pPr>
              <w:spacing w:before="120" w:after="200"/>
              <w:rPr>
                <w:rFonts w:ascii="Arial" w:eastAsia="Times New Roman" w:hAnsi="Arial" w:cs="Arial"/>
                <w:b/>
                <w:bCs/>
                <w:sz w:val="19"/>
                <w:szCs w:val="19"/>
              </w:rPr>
            </w:pPr>
            <w:r>
              <w:rPr>
                <w:rFonts w:ascii="Arial" w:eastAsia="Times New Roman" w:hAnsi="Arial" w:cs="Arial"/>
                <w:b/>
                <w:bCs/>
                <w:sz w:val="19"/>
                <w:szCs w:val="19"/>
              </w:rPr>
              <w:t>Work package</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24B3F709" w14:textId="77777777" w:rsidR="001761AA" w:rsidRDefault="001761AA">
            <w:pPr>
              <w:spacing w:before="120" w:after="200"/>
              <w:rPr>
                <w:rFonts w:ascii="Arial" w:eastAsia="Times New Roman" w:hAnsi="Arial" w:cs="Arial"/>
                <w:b/>
                <w:bCs/>
                <w:sz w:val="19"/>
                <w:szCs w:val="19"/>
              </w:rPr>
            </w:pPr>
            <w:r>
              <w:rPr>
                <w:rFonts w:ascii="Arial" w:eastAsia="Times New Roman" w:hAnsi="Arial" w:cs="Arial"/>
                <w:b/>
                <w:bCs/>
                <w:sz w:val="19"/>
                <w:szCs w:val="19"/>
              </w:rPr>
              <w:t>Q1</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2718D622" w14:textId="77777777" w:rsidR="001761AA" w:rsidRDefault="001761AA">
            <w:pPr>
              <w:spacing w:before="120" w:after="200"/>
              <w:rPr>
                <w:rFonts w:ascii="Arial" w:eastAsia="Times New Roman" w:hAnsi="Arial" w:cs="Arial"/>
                <w:b/>
                <w:bCs/>
                <w:sz w:val="19"/>
                <w:szCs w:val="19"/>
              </w:rPr>
            </w:pPr>
            <w:r>
              <w:rPr>
                <w:rFonts w:ascii="Arial" w:eastAsia="Times New Roman" w:hAnsi="Arial" w:cs="Arial"/>
                <w:b/>
                <w:bCs/>
                <w:sz w:val="19"/>
                <w:szCs w:val="19"/>
              </w:rPr>
              <w:t>Q2</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7EDBA339" w14:textId="77777777" w:rsidR="001761AA" w:rsidRDefault="001761AA">
            <w:pPr>
              <w:spacing w:before="120" w:after="200"/>
              <w:rPr>
                <w:rFonts w:ascii="Arial" w:eastAsia="Times New Roman" w:hAnsi="Arial" w:cs="Arial"/>
                <w:b/>
                <w:bCs/>
                <w:sz w:val="19"/>
                <w:szCs w:val="19"/>
              </w:rPr>
            </w:pPr>
            <w:r>
              <w:rPr>
                <w:rFonts w:ascii="Arial" w:eastAsia="Times New Roman" w:hAnsi="Arial" w:cs="Arial"/>
                <w:b/>
                <w:bCs/>
                <w:sz w:val="19"/>
                <w:szCs w:val="19"/>
              </w:rPr>
              <w:t>Q3</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4B11CFD8" w14:textId="77777777" w:rsidR="001761AA" w:rsidRDefault="001761AA">
            <w:pPr>
              <w:spacing w:before="120" w:after="200"/>
              <w:rPr>
                <w:rFonts w:ascii="Arial" w:eastAsia="Times New Roman" w:hAnsi="Arial" w:cs="Arial"/>
                <w:b/>
                <w:bCs/>
                <w:sz w:val="19"/>
                <w:szCs w:val="19"/>
              </w:rPr>
            </w:pPr>
            <w:r>
              <w:rPr>
                <w:rFonts w:ascii="Arial" w:eastAsia="Times New Roman" w:hAnsi="Arial" w:cs="Arial"/>
                <w:b/>
                <w:bCs/>
                <w:sz w:val="19"/>
                <w:szCs w:val="19"/>
              </w:rPr>
              <w:t>Q4</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055F8157" w14:textId="77777777" w:rsidR="001761AA" w:rsidRDefault="001761AA">
            <w:pPr>
              <w:spacing w:before="120" w:after="200"/>
              <w:rPr>
                <w:rFonts w:ascii="Arial" w:eastAsia="Times New Roman" w:hAnsi="Arial" w:cs="Arial"/>
                <w:b/>
                <w:bCs/>
                <w:sz w:val="19"/>
                <w:szCs w:val="19"/>
              </w:rPr>
            </w:pPr>
            <w:r>
              <w:rPr>
                <w:rFonts w:ascii="Arial" w:eastAsia="Times New Roman" w:hAnsi="Arial" w:cs="Arial"/>
                <w:b/>
                <w:bCs/>
                <w:sz w:val="19"/>
                <w:szCs w:val="19"/>
              </w:rPr>
              <w:t>Q5</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3BF1A15A" w14:textId="77777777" w:rsidR="001761AA" w:rsidRDefault="001761AA">
            <w:pPr>
              <w:spacing w:before="120" w:after="200"/>
              <w:rPr>
                <w:rFonts w:ascii="Arial" w:eastAsia="Times New Roman" w:hAnsi="Arial" w:cs="Arial"/>
                <w:b/>
                <w:bCs/>
                <w:sz w:val="19"/>
                <w:szCs w:val="19"/>
              </w:rPr>
            </w:pPr>
            <w:r>
              <w:rPr>
                <w:rFonts w:ascii="Arial" w:eastAsia="Times New Roman" w:hAnsi="Arial" w:cs="Arial"/>
                <w:b/>
                <w:bCs/>
                <w:sz w:val="19"/>
                <w:szCs w:val="19"/>
              </w:rPr>
              <w:t>Q6</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3FC7BCC2" w14:textId="77777777" w:rsidR="001761AA" w:rsidRDefault="001761AA">
            <w:pPr>
              <w:spacing w:before="120" w:after="200"/>
              <w:rPr>
                <w:rFonts w:ascii="Arial" w:eastAsia="Times New Roman" w:hAnsi="Arial" w:cs="Arial"/>
                <w:b/>
                <w:bCs/>
                <w:sz w:val="19"/>
                <w:szCs w:val="19"/>
              </w:rPr>
            </w:pPr>
            <w:r>
              <w:rPr>
                <w:rFonts w:ascii="Arial" w:eastAsia="Times New Roman" w:hAnsi="Arial" w:cs="Arial"/>
                <w:b/>
                <w:bCs/>
                <w:sz w:val="19"/>
                <w:szCs w:val="19"/>
              </w:rPr>
              <w:t>Q7</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6CA127C1" w14:textId="77777777" w:rsidR="001761AA" w:rsidRDefault="001761AA">
            <w:pPr>
              <w:spacing w:before="120" w:after="200"/>
              <w:rPr>
                <w:rFonts w:ascii="Arial" w:eastAsia="Times New Roman" w:hAnsi="Arial" w:cs="Arial"/>
                <w:b/>
                <w:bCs/>
                <w:sz w:val="19"/>
                <w:szCs w:val="19"/>
              </w:rPr>
            </w:pPr>
            <w:r>
              <w:rPr>
                <w:rFonts w:ascii="Arial" w:eastAsia="Times New Roman" w:hAnsi="Arial" w:cs="Arial"/>
                <w:b/>
                <w:bCs/>
                <w:sz w:val="19"/>
                <w:szCs w:val="19"/>
              </w:rPr>
              <w:t>Q8</w:t>
            </w:r>
          </w:p>
        </w:tc>
      </w:tr>
      <w:tr w:rsidR="00000000" w14:paraId="15B5295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A327B7"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WP1 Synthesis + XAS descriptors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374051" w14:textId="77777777" w:rsidR="001761AA" w:rsidRDefault="001761AA">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AB3D0B" w14:textId="77777777" w:rsidR="001761AA" w:rsidRDefault="001761AA">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D518BC4" w14:textId="77777777" w:rsidR="001761AA" w:rsidRDefault="001761AA">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C6B9D97" w14:textId="77777777" w:rsidR="001761AA" w:rsidRDefault="001761AA">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899D52" w14:textId="77777777" w:rsidR="001761AA" w:rsidRDefault="001761AA">
            <w:pPr>
              <w:spacing w:before="120" w:after="200"/>
              <w:jc w:val="center"/>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565291B" w14:textId="77777777" w:rsidR="001761AA" w:rsidRDefault="001761AA">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4E6D43C" w14:textId="77777777" w:rsidR="001761AA" w:rsidRDefault="001761AA">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69036C" w14:textId="77777777" w:rsidR="001761AA" w:rsidRDefault="001761AA">
            <w:pPr>
              <w:spacing w:before="120" w:after="200"/>
              <w:jc w:val="center"/>
              <w:rPr>
                <w:rFonts w:eastAsia="Times New Roman"/>
                <w:sz w:val="20"/>
                <w:szCs w:val="20"/>
              </w:rPr>
            </w:pPr>
          </w:p>
        </w:tc>
      </w:tr>
      <w:tr w:rsidR="00000000" w14:paraId="4E89784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200BA89"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WP2 Devices + switching statistics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1010D3C" w14:textId="77777777" w:rsidR="001761AA" w:rsidRDefault="001761AA">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0658D1E" w14:textId="77777777" w:rsidR="001761AA" w:rsidRDefault="001761AA">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E374F7" w14:textId="77777777" w:rsidR="001761AA" w:rsidRDefault="001761AA">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0B02FF" w14:textId="77777777" w:rsidR="001761AA" w:rsidRDefault="001761AA">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7EAD41" w14:textId="77777777" w:rsidR="001761AA" w:rsidRDefault="001761AA">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6C96E6D" w14:textId="77777777" w:rsidR="001761AA" w:rsidRDefault="001761AA">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9E474E" w14:textId="77777777" w:rsidR="001761AA" w:rsidRDefault="001761AA">
            <w:pPr>
              <w:spacing w:before="120" w:after="200"/>
              <w:jc w:val="center"/>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B2250FA" w14:textId="77777777" w:rsidR="001761AA" w:rsidRDefault="001761AA">
            <w:pPr>
              <w:spacing w:before="120" w:after="200"/>
              <w:jc w:val="center"/>
              <w:rPr>
                <w:rFonts w:eastAsia="Times New Roman"/>
                <w:sz w:val="20"/>
                <w:szCs w:val="20"/>
              </w:rPr>
            </w:pPr>
          </w:p>
        </w:tc>
      </w:tr>
      <w:tr w:rsidR="00000000" w14:paraId="6FE6975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AD77C55"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WP3 Correlation + operando + publication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7C98221" w14:textId="77777777" w:rsidR="001761AA" w:rsidRDefault="001761AA">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91D6C5" w14:textId="77777777" w:rsidR="001761AA" w:rsidRDefault="001761AA">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DE938E7" w14:textId="77777777" w:rsidR="001761AA" w:rsidRDefault="001761AA">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38E0FE" w14:textId="77777777" w:rsidR="001761AA" w:rsidRDefault="001761AA">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C1C397A" w14:textId="77777777" w:rsidR="001761AA" w:rsidRDefault="001761AA">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D5E8EA" w14:textId="77777777" w:rsidR="001761AA" w:rsidRDefault="001761AA">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5552EB" w14:textId="77777777" w:rsidR="001761AA" w:rsidRDefault="001761AA">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5AC93B" w14:textId="77777777" w:rsidR="001761AA" w:rsidRDefault="001761AA">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bl>
    <w:p w14:paraId="7C484283" w14:textId="77777777" w:rsidR="001761AA" w:rsidRDefault="001761AA">
      <w:pPr>
        <w:pStyle w:val="Heading2"/>
        <w:rPr>
          <w:rFonts w:ascii="Arial" w:eastAsia="Times New Roman" w:hAnsi="Arial" w:cs="Arial"/>
        </w:rPr>
      </w:pPr>
      <w:r>
        <w:rPr>
          <w:rFonts w:ascii="Arial" w:eastAsia="Times New Roman" w:hAnsi="Arial" w:cs="Arial"/>
        </w:rPr>
        <w:t>5  Career perspective and return strategy</w:t>
      </w:r>
    </w:p>
    <w:p w14:paraId="7B2C99FE" w14:textId="77777777" w:rsidR="001761AA" w:rsidRDefault="001761AA">
      <w:pPr>
        <w:pStyle w:val="NormalWeb"/>
        <w:rPr>
          <w:rFonts w:ascii="Arial" w:hAnsi="Arial" w:cs="Arial"/>
          <w:sz w:val="21"/>
          <w:szCs w:val="21"/>
        </w:rPr>
      </w:pPr>
      <w:r>
        <w:rPr>
          <w:rFonts w:ascii="Arial" w:hAnsi="Arial" w:cs="Arial"/>
          <w:sz w:val="21"/>
          <w:szCs w:val="21"/>
        </w:rPr>
        <w:t xml:space="preserve">The project is the deliberate building block between my doctorate (memristive devices, PLD, switching statistics) and my longer-term goal of establishing my own junior research group in Germany on descriptor-based materials development for memristive oxides (Emmy Noether proposal in preparation; ERC Starting Grant as an alternative). The stay with Prof. Chueh closes the one competence gap of my profile – quantitative synchrotron XAS and defect thermodynamics – </w:t>
      </w:r>
      <w:r>
        <w:rPr>
          <w:rFonts w:ascii="Arial" w:hAnsi="Arial" w:cs="Arial"/>
          <w:sz w:val="21"/>
          <w:szCs w:val="21"/>
        </w:rPr>
        <w:t>and at the same time delivers the empirical foundation (the covalency-resolved LSFO dataset, spanning the largest documented E</w:t>
      </w:r>
      <w:r>
        <w:rPr>
          <w:rFonts w:ascii="Arial" w:hAnsi="Arial" w:cs="Arial"/>
          <w:sz w:val="21"/>
          <w:szCs w:val="21"/>
          <w:vertAlign w:val="subscript"/>
        </w:rPr>
        <w:t>V</w:t>
      </w:r>
      <w:r>
        <w:rPr>
          <w:rFonts w:ascii="Arial" w:hAnsi="Arial" w:cs="Arial"/>
          <w:sz w:val="21"/>
          <w:szCs w:val="21"/>
        </w:rPr>
        <w:t xml:space="preserve"> range of any perovskite series) for the larger programme of a “treasure map” </w:t>
      </w:r>
      <w:r>
        <w:rPr>
          <w:rFonts w:ascii="Arial" w:hAnsi="Arial" w:cs="Arial"/>
          <w:sz w:val="21"/>
          <w:szCs w:val="21"/>
        </w:rPr>
        <w:t>of memristive oxides in analogy to the bonding-descriptor maps of Wuttig et al. [21]. The subsequent group programme then extends the methodology to the manganite and cobaltite families and charts the topotactic mechanism boundary that the LSFO series itself approaches at its Sr-rich end. The return is concretely planned: reintegration into the German oxide-electronics environment (FZ Jü</w:t>
      </w:r>
      <w:r>
        <w:rPr>
          <w:rFonts w:ascii="Arial" w:hAnsi="Arial" w:cs="Arial"/>
          <w:sz w:val="21"/>
          <w:szCs w:val="21"/>
        </w:rPr>
        <w:t>lich/RWTH Aachen, JARA), supported by the Feodor Lynen Return Fellowship, with submission of the group proposal during the final year of the stay. The Stanford/SSRL collaboration built up abroad will be continued as the transatlantic bridge of the future group.</w:t>
      </w:r>
    </w:p>
    <w:p w14:paraId="791C8F98" w14:textId="77777777" w:rsidR="001761AA" w:rsidRDefault="001761AA">
      <w:pPr>
        <w:pStyle w:val="Heading2"/>
        <w:rPr>
          <w:rFonts w:ascii="Arial" w:eastAsia="Times New Roman" w:hAnsi="Arial" w:cs="Arial"/>
        </w:rPr>
      </w:pPr>
      <w:r>
        <w:rPr>
          <w:rFonts w:ascii="Arial" w:eastAsia="Times New Roman" w:hAnsi="Arial" w:cs="Arial"/>
        </w:rPr>
        <w:t>6  References</w:t>
      </w:r>
    </w:p>
    <w:p w14:paraId="57BDB0D4" w14:textId="77777777" w:rsidR="001761AA" w:rsidRDefault="001761AA">
      <w:pPr>
        <w:spacing w:after="60"/>
        <w:ind w:hanging="480"/>
        <w:divId w:val="1197347534"/>
        <w:rPr>
          <w:rFonts w:ascii="Arial" w:hAnsi="Arial" w:cs="Arial"/>
          <w:sz w:val="18"/>
          <w:szCs w:val="18"/>
        </w:rPr>
      </w:pPr>
      <w:r>
        <w:rPr>
          <w:rFonts w:ascii="Arial" w:hAnsi="Arial" w:cs="Arial"/>
          <w:sz w:val="18"/>
          <w:szCs w:val="18"/>
        </w:rPr>
        <w:t>[1] R. Waser, M. Aono, Nanoionics-based resistive switching memories. Nature Materials 6, 833–840 (2007).</w:t>
      </w:r>
    </w:p>
    <w:p w14:paraId="2335A389" w14:textId="77777777" w:rsidR="001761AA" w:rsidRDefault="001761AA">
      <w:pPr>
        <w:spacing w:after="60"/>
        <w:ind w:hanging="480"/>
        <w:divId w:val="1197347534"/>
        <w:rPr>
          <w:rFonts w:ascii="Arial" w:hAnsi="Arial" w:cs="Arial"/>
          <w:sz w:val="18"/>
          <w:szCs w:val="18"/>
        </w:rPr>
      </w:pPr>
      <w:r>
        <w:rPr>
          <w:rFonts w:ascii="Arial" w:hAnsi="Arial" w:cs="Arial"/>
          <w:sz w:val="18"/>
          <w:szCs w:val="18"/>
        </w:rPr>
        <w:t xml:space="preserve">[2] R. Waser, R. Dittmann, G. Staikov, K. Szot, Redox-Based Resistive Switching Memories – </w:t>
      </w:r>
      <w:r>
        <w:rPr>
          <w:rFonts w:ascii="Arial" w:hAnsi="Arial" w:cs="Arial"/>
          <w:sz w:val="18"/>
          <w:szCs w:val="18"/>
        </w:rPr>
        <w:t>Nanoionic Mechanisms, Prospects, and Challenges. Advanced Materials 21, 2632–2663 (2009).</w:t>
      </w:r>
    </w:p>
    <w:p w14:paraId="5BCF9589" w14:textId="77777777" w:rsidR="001761AA" w:rsidRDefault="001761AA">
      <w:pPr>
        <w:spacing w:after="60"/>
        <w:ind w:hanging="480"/>
        <w:divId w:val="1197347534"/>
        <w:rPr>
          <w:rFonts w:ascii="Arial" w:hAnsi="Arial" w:cs="Arial"/>
          <w:sz w:val="18"/>
          <w:szCs w:val="18"/>
        </w:rPr>
      </w:pPr>
      <w:r>
        <w:rPr>
          <w:rFonts w:ascii="Arial" w:hAnsi="Arial" w:cs="Arial"/>
          <w:sz w:val="18"/>
          <w:szCs w:val="18"/>
        </w:rPr>
        <w:t>[3] R. Dittmann, S. Menzel, R. Waser, Nanoionic memristive phenomena in metal oxides: the valence change mechanism. Advances in Physics 70, 155–349 (2021).</w:t>
      </w:r>
    </w:p>
    <w:p w14:paraId="45A88FA5" w14:textId="77777777" w:rsidR="001761AA" w:rsidRDefault="001761AA">
      <w:pPr>
        <w:spacing w:after="60"/>
        <w:ind w:hanging="480"/>
        <w:divId w:val="1197347534"/>
        <w:rPr>
          <w:rFonts w:ascii="Arial" w:hAnsi="Arial" w:cs="Arial"/>
          <w:sz w:val="18"/>
          <w:szCs w:val="18"/>
        </w:rPr>
      </w:pPr>
      <w:r>
        <w:rPr>
          <w:rFonts w:ascii="Arial" w:hAnsi="Arial" w:cs="Arial"/>
          <w:sz w:val="18"/>
          <w:szCs w:val="18"/>
        </w:rPr>
        <w:t>[4] S. Menzel, M. Waters, A. Marchewka, U. Böttger, R. Dittmann, R. Waser, Origin of the Ultra-nonlinear Switching Kinetics in Oxide-Based Resistive Switches. Advanced Functional Materials 21, 4487–4492 (2011).</w:t>
      </w:r>
    </w:p>
    <w:p w14:paraId="6E9B95D7" w14:textId="77777777" w:rsidR="001761AA" w:rsidRDefault="001761AA">
      <w:pPr>
        <w:spacing w:after="60"/>
        <w:ind w:hanging="480"/>
        <w:divId w:val="1197347534"/>
        <w:rPr>
          <w:rFonts w:ascii="Arial" w:hAnsi="Arial" w:cs="Arial"/>
          <w:sz w:val="18"/>
          <w:szCs w:val="18"/>
        </w:rPr>
      </w:pPr>
      <w:r>
        <w:rPr>
          <w:rFonts w:ascii="Arial" w:hAnsi="Arial" w:cs="Arial"/>
          <w:sz w:val="18"/>
          <w:szCs w:val="18"/>
        </w:rPr>
        <w:t>[5] Y.-L. Lee, J. Kleis, J. Rossmeisl, Y. Shao-Horn, D. Morgan, Prediction of solid oxide fuel cell cathode activity with first-principles descriptors. Energy &amp; Environmental Science 4, 3966–3970 (2011).</w:t>
      </w:r>
    </w:p>
    <w:p w14:paraId="61D03E55" w14:textId="77777777" w:rsidR="001761AA" w:rsidRDefault="001761AA">
      <w:pPr>
        <w:spacing w:after="60"/>
        <w:ind w:hanging="480"/>
        <w:divId w:val="1197347534"/>
        <w:rPr>
          <w:rFonts w:ascii="Arial" w:hAnsi="Arial" w:cs="Arial"/>
          <w:sz w:val="18"/>
          <w:szCs w:val="18"/>
        </w:rPr>
      </w:pPr>
      <w:r>
        <w:rPr>
          <w:rFonts w:ascii="Arial" w:hAnsi="Arial" w:cs="Arial"/>
          <w:sz w:val="18"/>
          <w:szCs w:val="18"/>
        </w:rPr>
        <w:t>[6] R. Jacobs, J. Hwang, Y. Shao-Horn, D. Morgan, Assessing Correlations of Perovskite Catalytic Performance with Electronic Structure Descriptors. Chemistry of Materials 31, 785–797 (2019).</w:t>
      </w:r>
    </w:p>
    <w:p w14:paraId="0CF42C02" w14:textId="77777777" w:rsidR="001761AA" w:rsidRDefault="001761AA">
      <w:pPr>
        <w:spacing w:after="60"/>
        <w:ind w:hanging="480"/>
        <w:divId w:val="1197347534"/>
        <w:rPr>
          <w:rFonts w:ascii="Arial" w:hAnsi="Arial" w:cs="Arial"/>
          <w:sz w:val="18"/>
          <w:szCs w:val="18"/>
        </w:rPr>
      </w:pPr>
      <w:r>
        <w:rPr>
          <w:rFonts w:ascii="Arial" w:hAnsi="Arial" w:cs="Arial"/>
          <w:sz w:val="18"/>
          <w:szCs w:val="18"/>
        </w:rPr>
        <w:t>[7] A. M. Deml, V. Stevanović, C. L. Muhich, C. B. Musgrave, R. O’</w:t>
      </w:r>
      <w:r>
        <w:rPr>
          <w:rFonts w:ascii="Arial" w:hAnsi="Arial" w:cs="Arial"/>
          <w:sz w:val="18"/>
          <w:szCs w:val="18"/>
        </w:rPr>
        <w:t>Hayre, Oxide enthalpy of formation and band gap energy as accurate descriptors of oxygen vacancy formation energetics. Energy &amp; Environmental Science 7, 1996–2004 (2014).</w:t>
      </w:r>
    </w:p>
    <w:p w14:paraId="0E48F623" w14:textId="77777777" w:rsidR="001761AA" w:rsidRDefault="001761AA">
      <w:pPr>
        <w:spacing w:after="60"/>
        <w:ind w:hanging="480"/>
        <w:divId w:val="1197347534"/>
        <w:rPr>
          <w:rFonts w:ascii="Arial" w:hAnsi="Arial" w:cs="Arial"/>
          <w:sz w:val="18"/>
          <w:szCs w:val="18"/>
        </w:rPr>
      </w:pPr>
      <w:r>
        <w:rPr>
          <w:rFonts w:ascii="Arial" w:hAnsi="Arial" w:cs="Arial"/>
          <w:sz w:val="18"/>
          <w:szCs w:val="18"/>
        </w:rPr>
        <w:t>[8] R. B. Wexler, G. Sai Gautam, E. B. Stechel, E. A. Carter, Factors Governing Oxygen Vacancy Formation in Oxide Perovskites. Journal of the American Chemical Society 143, 13212–13227 (2021).</w:t>
      </w:r>
    </w:p>
    <w:p w14:paraId="2017530A" w14:textId="77777777" w:rsidR="001761AA" w:rsidRDefault="001761AA">
      <w:pPr>
        <w:spacing w:after="60"/>
        <w:ind w:hanging="480"/>
        <w:divId w:val="1197347534"/>
        <w:rPr>
          <w:rFonts w:ascii="Arial" w:hAnsi="Arial" w:cs="Arial"/>
          <w:sz w:val="18"/>
          <w:szCs w:val="18"/>
        </w:rPr>
      </w:pPr>
      <w:r>
        <w:rPr>
          <w:rFonts w:ascii="Arial" w:hAnsi="Arial" w:cs="Arial"/>
          <w:sz w:val="18"/>
          <w:szCs w:val="18"/>
        </w:rPr>
        <w:t>[9] A. M. Ritzmann, A. B. Muñoz-Garcí</w:t>
      </w:r>
      <w:r>
        <w:rPr>
          <w:rFonts w:ascii="Arial" w:hAnsi="Arial" w:cs="Arial"/>
          <w:sz w:val="18"/>
          <w:szCs w:val="18"/>
        </w:rPr>
        <w:t>a, M. Pavone, J. A. Keith, E. A. Carter, Ab Initio DFT+U Analysis of Oxygen Vacancy Formation and Migration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(x = 0, 0.25, 0.50). Chemistry of Materials 25, 3011–3019 (2013).</w:t>
      </w:r>
    </w:p>
    <w:p w14:paraId="39D9748F" w14:textId="77777777" w:rsidR="001761AA" w:rsidRDefault="001761AA">
      <w:pPr>
        <w:spacing w:after="60"/>
        <w:ind w:hanging="480"/>
        <w:divId w:val="1197347534"/>
        <w:rPr>
          <w:rFonts w:ascii="Arial" w:hAnsi="Arial" w:cs="Arial"/>
          <w:sz w:val="18"/>
          <w:szCs w:val="18"/>
        </w:rPr>
      </w:pPr>
      <w:r>
        <w:rPr>
          <w:rFonts w:ascii="Arial" w:hAnsi="Arial" w:cs="Arial"/>
          <w:sz w:val="18"/>
          <w:szCs w:val="18"/>
        </w:rPr>
        <w:t>[10] M. Abbate et al., Controlled-valence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w:t>
      </w:r>
      <w:r>
        <w:rPr>
          <w:rFonts w:ascii="Arial" w:hAnsi="Arial" w:cs="Arial"/>
          <w:sz w:val="18"/>
          <w:szCs w:val="18"/>
        </w:rPr>
        <w:t xml:space="preserve"> and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studied by soft-x-ray absorption spectroscopy. Physical Review B 46, 4511–4519 (1992).</w:t>
      </w:r>
    </w:p>
    <w:p w14:paraId="66596831" w14:textId="77777777" w:rsidR="001761AA" w:rsidRDefault="001761AA">
      <w:pPr>
        <w:spacing w:after="60"/>
        <w:ind w:hanging="480"/>
        <w:divId w:val="1197347534"/>
        <w:rPr>
          <w:rFonts w:ascii="Arial" w:hAnsi="Arial" w:cs="Arial"/>
          <w:sz w:val="18"/>
          <w:szCs w:val="18"/>
        </w:rPr>
      </w:pPr>
      <w:r>
        <w:rPr>
          <w:rFonts w:ascii="Arial" w:hAnsi="Arial" w:cs="Arial"/>
          <w:sz w:val="18"/>
          <w:szCs w:val="18"/>
        </w:rPr>
        <w:t>[11] J. Suntivich et al., Estimating Hybridization of Transition Metal and Oxygen States in Perovskites from O K-edge X-ray Absorption Spectroscopy. Journal of Physical Chemistry C 118, 1856–1863 (2014).</w:t>
      </w:r>
    </w:p>
    <w:p w14:paraId="0EFEFC44" w14:textId="77777777" w:rsidR="001761AA" w:rsidRDefault="001761AA">
      <w:pPr>
        <w:spacing w:after="60"/>
        <w:ind w:hanging="480"/>
        <w:divId w:val="1197347534"/>
        <w:rPr>
          <w:rFonts w:ascii="Arial" w:hAnsi="Arial" w:cs="Arial"/>
          <w:sz w:val="18"/>
          <w:szCs w:val="18"/>
        </w:rPr>
      </w:pPr>
      <w:r>
        <w:rPr>
          <w:rFonts w:ascii="Arial" w:hAnsi="Arial" w:cs="Arial"/>
          <w:sz w:val="18"/>
          <w:szCs w:val="18"/>
        </w:rPr>
        <w:t>[12] V. R. Nallagatla et al., Interface-Type and Filamentary Switching Controlled by Crystal Orientation in Topotactic Phase Transition Driven Memristive Devices (SrFeO</w:t>
      </w:r>
      <w:r>
        <w:rPr>
          <w:rFonts w:ascii="Arial" w:hAnsi="Arial" w:cs="Arial"/>
          <w:sz w:val="18"/>
          <w:szCs w:val="18"/>
          <w:vertAlign w:val="subscript"/>
        </w:rPr>
        <w:t>2.5</w:t>
      </w:r>
      <w:r>
        <w:rPr>
          <w:rFonts w:ascii="Arial" w:hAnsi="Arial" w:cs="Arial"/>
          <w:sz w:val="18"/>
          <w:szCs w:val="18"/>
        </w:rPr>
        <w:t>/SrFeO</w:t>
      </w:r>
      <w:r>
        <w:rPr>
          <w:rFonts w:ascii="Arial" w:hAnsi="Arial" w:cs="Arial"/>
          <w:sz w:val="18"/>
          <w:szCs w:val="18"/>
          <w:vertAlign w:val="subscript"/>
        </w:rPr>
        <w:t>3</w:t>
      </w:r>
      <w:r>
        <w:rPr>
          <w:rFonts w:ascii="Arial" w:hAnsi="Arial" w:cs="Arial"/>
          <w:sz w:val="18"/>
          <w:szCs w:val="18"/>
        </w:rPr>
        <w:t>). Advanced Materials 31, 1903391 (2019).</w:t>
      </w:r>
    </w:p>
    <w:p w14:paraId="672075B9" w14:textId="77777777" w:rsidR="001761AA" w:rsidRDefault="001761AA">
      <w:pPr>
        <w:spacing w:after="60"/>
        <w:ind w:hanging="480"/>
        <w:divId w:val="1197347534"/>
        <w:rPr>
          <w:rFonts w:ascii="Arial" w:hAnsi="Arial" w:cs="Arial"/>
          <w:sz w:val="18"/>
          <w:szCs w:val="18"/>
        </w:rPr>
      </w:pPr>
      <w:r>
        <w:rPr>
          <w:rFonts w:ascii="Arial" w:hAnsi="Arial" w:cs="Arial"/>
          <w:sz w:val="18"/>
          <w:szCs w:val="18"/>
        </w:rPr>
        <w:t>[13] H. Tian et al., Nanoscale Topotactic Phase Transformation in SrFeO</w:t>
      </w:r>
      <w:r>
        <w:rPr>
          <w:rFonts w:ascii="Arial" w:hAnsi="Arial" w:cs="Arial"/>
          <w:sz w:val="18"/>
          <w:szCs w:val="18"/>
          <w:vertAlign w:val="subscript"/>
        </w:rPr>
        <w:t>x</w:t>
      </w:r>
      <w:r>
        <w:rPr>
          <w:rFonts w:ascii="Arial" w:hAnsi="Arial" w:cs="Arial"/>
          <w:sz w:val="18"/>
          <w:szCs w:val="18"/>
        </w:rPr>
        <w:t xml:space="preserve"> </w:t>
      </w:r>
      <w:r>
        <w:rPr>
          <w:rFonts w:ascii="Arial" w:hAnsi="Arial" w:cs="Arial"/>
          <w:sz w:val="18"/>
          <w:szCs w:val="18"/>
        </w:rPr>
        <w:t>Epitaxial Thin Films for High-Density Resistive Switching Memory. Advanced Materials 31, 1903679 (2019).</w:t>
      </w:r>
    </w:p>
    <w:p w14:paraId="63511CD0" w14:textId="77777777" w:rsidR="001761AA" w:rsidRDefault="001761AA">
      <w:pPr>
        <w:spacing w:after="60"/>
        <w:ind w:hanging="480"/>
        <w:divId w:val="1197347534"/>
        <w:rPr>
          <w:rFonts w:ascii="Arial" w:hAnsi="Arial" w:cs="Arial"/>
          <w:sz w:val="18"/>
          <w:szCs w:val="18"/>
        </w:rPr>
      </w:pPr>
      <w:r>
        <w:rPr>
          <w:rFonts w:ascii="Arial" w:hAnsi="Arial" w:cs="Arial"/>
          <w:sz w:val="18"/>
          <w:szCs w:val="18"/>
        </w:rPr>
        <w:t>[14] R. K. Aljurays, A. Loucif, A. M. Albadri, Synthesis of LaXO</w:t>
      </w:r>
      <w:r>
        <w:rPr>
          <w:rFonts w:ascii="Arial" w:hAnsi="Arial" w:cs="Arial"/>
          <w:sz w:val="18"/>
          <w:szCs w:val="18"/>
          <w:vertAlign w:val="subscript"/>
        </w:rPr>
        <w:t>3</w:t>
      </w:r>
      <w:r>
        <w:rPr>
          <w:rFonts w:ascii="Arial" w:hAnsi="Arial" w:cs="Arial"/>
          <w:sz w:val="18"/>
          <w:szCs w:val="18"/>
        </w:rPr>
        <w:t xml:space="preserve"> (X = Fe, Mn, Cr, Ni) Thin Films Using a Simple Spin Coating Set-Up for Resistive Switching Memory Devices. Electronics 12, 4141 (2023).</w:t>
      </w:r>
    </w:p>
    <w:p w14:paraId="39CB32E7" w14:textId="77777777" w:rsidR="001761AA" w:rsidRDefault="001761AA">
      <w:pPr>
        <w:spacing w:after="60"/>
        <w:ind w:hanging="480"/>
        <w:divId w:val="1197347534"/>
        <w:rPr>
          <w:rFonts w:ascii="Arial" w:hAnsi="Arial" w:cs="Arial"/>
          <w:sz w:val="18"/>
          <w:szCs w:val="18"/>
        </w:rPr>
      </w:pPr>
      <w:r>
        <w:rPr>
          <w:rFonts w:ascii="Arial" w:hAnsi="Arial" w:cs="Arial"/>
          <w:sz w:val="18"/>
          <w:szCs w:val="18"/>
        </w:rPr>
        <w:t>[15] N. Nizet et al., Analog control of La</w:t>
      </w:r>
      <w:r>
        <w:rPr>
          <w:rFonts w:ascii="Arial" w:hAnsi="Arial" w:cs="Arial"/>
          <w:sz w:val="18"/>
          <w:szCs w:val="18"/>
          <w:vertAlign w:val="subscript"/>
        </w:rPr>
        <w:t>0.5</w:t>
      </w:r>
      <w:r>
        <w:rPr>
          <w:rFonts w:ascii="Arial" w:hAnsi="Arial" w:cs="Arial"/>
          <w:sz w:val="18"/>
          <w:szCs w:val="18"/>
        </w:rPr>
        <w:t>Sr</w:t>
      </w:r>
      <w:r>
        <w:rPr>
          <w:rFonts w:ascii="Arial" w:hAnsi="Arial" w:cs="Arial"/>
          <w:sz w:val="18"/>
          <w:szCs w:val="18"/>
          <w:vertAlign w:val="subscript"/>
        </w:rPr>
        <w:t>0.5</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electrical properties through oxygen deficiency induced magnetic transition. Applied Physics Reviews 11, 041426 (2024).</w:t>
      </w:r>
    </w:p>
    <w:p w14:paraId="436C8B81" w14:textId="77777777" w:rsidR="001761AA" w:rsidRDefault="001761AA">
      <w:pPr>
        <w:spacing w:after="60"/>
        <w:ind w:hanging="480"/>
        <w:divId w:val="1197347534"/>
        <w:rPr>
          <w:rFonts w:ascii="Arial" w:hAnsi="Arial" w:cs="Arial"/>
          <w:sz w:val="18"/>
          <w:szCs w:val="18"/>
        </w:rPr>
      </w:pPr>
      <w:r>
        <w:rPr>
          <w:rFonts w:ascii="Arial" w:hAnsi="Arial" w:cs="Arial"/>
          <w:sz w:val="18"/>
          <w:szCs w:val="18"/>
        </w:rPr>
        <w:t>[16] S. Asanuma, H. Akoh, H. Yamada, A. Sawa, Relationship between resistive switching characteristics and band diagrams of Ti/Pr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junctions. Physical Review B 80, 235113 (2009).</w:t>
      </w:r>
    </w:p>
    <w:p w14:paraId="3630A78F" w14:textId="77777777" w:rsidR="001761AA" w:rsidRDefault="001761AA">
      <w:pPr>
        <w:spacing w:after="60"/>
        <w:ind w:hanging="480"/>
        <w:divId w:val="1197347534"/>
        <w:rPr>
          <w:rFonts w:ascii="Arial" w:hAnsi="Arial" w:cs="Arial"/>
          <w:sz w:val="18"/>
          <w:szCs w:val="18"/>
        </w:rPr>
      </w:pPr>
      <w:r>
        <w:rPr>
          <w:rFonts w:ascii="Arial" w:hAnsi="Arial" w:cs="Arial"/>
          <w:sz w:val="18"/>
          <w:szCs w:val="18"/>
        </w:rPr>
        <w:t>[17] V. Lähteenlahti, A. Schulman, A. Beiranvand, H. Huhtinen, P. Paturi, Electron Doping Effect in the Resistive Switching Properties of Al/Gd</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/Au Memristor Devices. ACS Applied Materials &amp; Interfaces 13, 18365–18371 (2021).</w:t>
      </w:r>
    </w:p>
    <w:p w14:paraId="0398EEAC" w14:textId="77777777" w:rsidR="001761AA" w:rsidRDefault="001761AA">
      <w:pPr>
        <w:spacing w:after="60"/>
        <w:ind w:hanging="480"/>
        <w:divId w:val="1197347534"/>
        <w:rPr>
          <w:rFonts w:ascii="Arial" w:hAnsi="Arial" w:cs="Arial"/>
          <w:sz w:val="18"/>
          <w:szCs w:val="18"/>
        </w:rPr>
      </w:pPr>
      <w:r>
        <w:rPr>
          <w:rFonts w:ascii="Arial" w:hAnsi="Arial" w:cs="Arial"/>
          <w:sz w:val="18"/>
          <w:szCs w:val="18"/>
        </w:rPr>
        <w:t>[18] W. C. Chueh, C. Falter, M. Abbott, D. Scipio, P. Furler, S. M. Haile, A. Steinfeld, High-Flux Solar-Driven Thermochemical Dissociation of CO</w:t>
      </w:r>
      <w:r>
        <w:rPr>
          <w:rFonts w:ascii="Arial" w:hAnsi="Arial" w:cs="Arial"/>
          <w:sz w:val="18"/>
          <w:szCs w:val="18"/>
          <w:vertAlign w:val="subscript"/>
        </w:rPr>
        <w:t>2</w:t>
      </w:r>
      <w:r>
        <w:rPr>
          <w:rFonts w:ascii="Arial" w:hAnsi="Arial" w:cs="Arial"/>
          <w:sz w:val="18"/>
          <w:szCs w:val="18"/>
        </w:rPr>
        <w:t xml:space="preserve"> and H</w:t>
      </w:r>
      <w:r>
        <w:rPr>
          <w:rFonts w:ascii="Arial" w:hAnsi="Arial" w:cs="Arial"/>
          <w:sz w:val="18"/>
          <w:szCs w:val="18"/>
          <w:vertAlign w:val="subscript"/>
        </w:rPr>
        <w:t>2</w:t>
      </w:r>
      <w:r>
        <w:rPr>
          <w:rFonts w:ascii="Arial" w:hAnsi="Arial" w:cs="Arial"/>
          <w:sz w:val="18"/>
          <w:szCs w:val="18"/>
        </w:rPr>
        <w:t>O Using Nonstoichiometric Ceria. Science 330, 1797–1801 (2010).</w:t>
      </w:r>
    </w:p>
    <w:p w14:paraId="1D08E82C" w14:textId="77777777" w:rsidR="001761AA" w:rsidRDefault="001761AA">
      <w:pPr>
        <w:spacing w:after="60"/>
        <w:ind w:hanging="480"/>
        <w:divId w:val="1197347534"/>
        <w:rPr>
          <w:rFonts w:ascii="Arial" w:hAnsi="Arial" w:cs="Arial"/>
          <w:sz w:val="18"/>
          <w:szCs w:val="18"/>
        </w:rPr>
      </w:pPr>
      <w:r>
        <w:rPr>
          <w:rFonts w:ascii="Arial" w:hAnsi="Arial" w:cs="Arial"/>
          <w:sz w:val="18"/>
          <w:szCs w:val="18"/>
        </w:rPr>
        <w:t>[19] D. N. Mueller, M. L. Machala, H. Bluhm, W. C. Chueh, Redox activity of surface oxygen anions in oxygen-deficient perovskite oxides during electrochemical reactions. Nature Communications 6, 6097 (2015).</w:t>
      </w:r>
    </w:p>
    <w:p w14:paraId="79BF8F7C" w14:textId="77777777" w:rsidR="001761AA" w:rsidRDefault="001761AA">
      <w:pPr>
        <w:spacing w:after="60"/>
        <w:ind w:hanging="480"/>
        <w:divId w:val="1197347534"/>
        <w:rPr>
          <w:rFonts w:ascii="Arial" w:hAnsi="Arial" w:cs="Arial"/>
          <w:sz w:val="18"/>
          <w:szCs w:val="18"/>
        </w:rPr>
      </w:pPr>
      <w:r>
        <w:rPr>
          <w:rFonts w:ascii="Arial" w:hAnsi="Arial" w:cs="Arial"/>
          <w:sz w:val="18"/>
          <w:szCs w:val="18"/>
        </w:rPr>
        <w:t>[20] C. Baeumer, J. Li, Q. Lu et al. (with W</w:t>
      </w:r>
      <w:r>
        <w:rPr>
          <w:rFonts w:ascii="Arial" w:hAnsi="Arial" w:cs="Arial"/>
          <w:sz w:val="18"/>
          <w:szCs w:val="18"/>
        </w:rPr>
        <w:t>. C. Chueh), Tuning electrochemically driven surface transformation in atomically flat LaNiO</w:t>
      </w:r>
      <w:r>
        <w:rPr>
          <w:rFonts w:ascii="Arial" w:hAnsi="Arial" w:cs="Arial"/>
          <w:sz w:val="18"/>
          <w:szCs w:val="18"/>
          <w:vertAlign w:val="subscript"/>
        </w:rPr>
        <w:t>3</w:t>
      </w:r>
      <w:r>
        <w:rPr>
          <w:rFonts w:ascii="Arial" w:hAnsi="Arial" w:cs="Arial"/>
          <w:sz w:val="18"/>
          <w:szCs w:val="18"/>
        </w:rPr>
        <w:t xml:space="preserve"> thin films for enhanced water electrolysis. Nature Materials 20, 674–682 (2021).</w:t>
      </w:r>
    </w:p>
    <w:p w14:paraId="44F08E65" w14:textId="77777777" w:rsidR="001761AA" w:rsidRDefault="001761AA">
      <w:pPr>
        <w:spacing w:after="60"/>
        <w:ind w:hanging="480"/>
        <w:divId w:val="1197347534"/>
        <w:rPr>
          <w:rFonts w:ascii="Arial" w:hAnsi="Arial" w:cs="Arial"/>
          <w:sz w:val="18"/>
          <w:szCs w:val="18"/>
        </w:rPr>
      </w:pPr>
      <w:r>
        <w:rPr>
          <w:rFonts w:ascii="Arial" w:hAnsi="Arial" w:cs="Arial"/>
          <w:sz w:val="18"/>
          <w:szCs w:val="18"/>
        </w:rPr>
        <w:t>[21] M. Wuttig et al., Revisiting the Nature of Chemical Bonding in Chalcogenides to Explain and Design their Properties. Advanced Materials 35, 2208485 (2023).</w:t>
      </w:r>
    </w:p>
    <w:p w14:paraId="5B938664" w14:textId="77777777" w:rsidR="001761AA" w:rsidRDefault="001761AA">
      <w:pPr>
        <w:spacing w:after="60"/>
        <w:ind w:hanging="480"/>
        <w:divId w:val="1197347534"/>
        <w:rPr>
          <w:rFonts w:ascii="Arial" w:hAnsi="Arial" w:cs="Arial"/>
          <w:sz w:val="18"/>
          <w:szCs w:val="18"/>
        </w:rPr>
      </w:pPr>
      <w:r>
        <w:rPr>
          <w:rFonts w:ascii="Arial" w:hAnsi="Arial" w:cs="Arial"/>
          <w:sz w:val="18"/>
          <w:szCs w:val="18"/>
        </w:rPr>
        <w:t>[E1]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45979207" w14:textId="77777777" w:rsidR="001761AA" w:rsidRDefault="001761AA">
      <w:pPr>
        <w:spacing w:after="60"/>
        <w:ind w:hanging="480"/>
        <w:divId w:val="1197347534"/>
        <w:rPr>
          <w:rFonts w:ascii="Arial" w:hAnsi="Arial" w:cs="Arial"/>
          <w:sz w:val="18"/>
          <w:szCs w:val="18"/>
        </w:rPr>
      </w:pPr>
      <w:r>
        <w:rPr>
          <w:rFonts w:ascii="Arial" w:hAnsi="Arial" w:cs="Arial"/>
          <w:sz w:val="18"/>
          <w:szCs w:val="18"/>
        </w:rPr>
        <w:t>[E2]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-Based Memristive Heterostructures: Basic Mechanisms and Applications. Chemical Reviews 125, 6156–6202 (2025).</w:t>
      </w:r>
    </w:p>
    <w:p w14:paraId="62C9FF5E" w14:textId="77777777" w:rsidR="001761AA" w:rsidRDefault="001761AA">
      <w:pPr>
        <w:spacing w:after="60"/>
        <w:ind w:hanging="480"/>
        <w:divId w:val="1197347534"/>
        <w:rPr>
          <w:rFonts w:ascii="Arial" w:hAnsi="Arial" w:cs="Arial"/>
          <w:sz w:val="18"/>
          <w:szCs w:val="18"/>
        </w:rPr>
      </w:pPr>
      <w:r>
        <w:rPr>
          <w:rFonts w:ascii="Arial" w:hAnsi="Arial" w:cs="Arial"/>
          <w:sz w:val="18"/>
          <w:szCs w:val="18"/>
        </w:rPr>
        <w:t>[E3]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7A569768" w14:textId="77777777" w:rsidR="001761AA" w:rsidRDefault="001761AA">
      <w:pPr>
        <w:pStyle w:val="Heading1"/>
        <w:pageBreakBefore/>
        <w:rPr>
          <w:rFonts w:ascii="Arial" w:eastAsia="Times New Roman" w:hAnsi="Arial" w:cs="Arial"/>
        </w:rPr>
      </w:pPr>
      <w:r>
        <w:rPr>
          <w:rFonts w:ascii="Arial" w:eastAsia="Times New Roman" w:hAnsi="Arial" w:cs="Arial"/>
        </w:rPr>
        <w:t>Checklist of Further Application Documents (AvH online portal)</w:t>
      </w:r>
    </w:p>
    <w:tbl>
      <w:tblPr>
        <w:tblW w:w="5000" w:type="pct"/>
        <w:tblCellMar>
          <w:top w:w="15" w:type="dxa"/>
          <w:left w:w="15" w:type="dxa"/>
          <w:bottom w:w="15" w:type="dxa"/>
          <w:right w:w="15" w:type="dxa"/>
        </w:tblCellMar>
        <w:tblLook w:val="04A0" w:firstRow="1" w:lastRow="0" w:firstColumn="1" w:lastColumn="0" w:noHBand="0" w:noVBand="1"/>
      </w:tblPr>
      <w:tblGrid>
        <w:gridCol w:w="3804"/>
        <w:gridCol w:w="5252"/>
      </w:tblGrid>
      <w:tr w:rsidR="00000000" w14:paraId="21D41E61" w14:textId="77777777">
        <w:tc>
          <w:tcPr>
            <w:tcW w:w="2100" w:type="pct"/>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66FB5DF3" w14:textId="77777777" w:rsidR="001761AA" w:rsidRDefault="001761AA">
            <w:pPr>
              <w:spacing w:before="120" w:after="200"/>
              <w:rPr>
                <w:rFonts w:ascii="Arial" w:eastAsia="Times New Roman" w:hAnsi="Arial" w:cs="Arial"/>
                <w:b/>
                <w:bCs/>
                <w:sz w:val="19"/>
                <w:szCs w:val="19"/>
              </w:rPr>
            </w:pPr>
            <w:r>
              <w:rPr>
                <w:rFonts w:ascii="Arial" w:eastAsia="Times New Roman" w:hAnsi="Arial" w:cs="Arial"/>
                <w:b/>
                <w:bCs/>
                <w:sz w:val="19"/>
                <w:szCs w:val="19"/>
              </w:rPr>
              <w:t>Document</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54502624" w14:textId="77777777" w:rsidR="001761AA" w:rsidRDefault="001761AA">
            <w:pPr>
              <w:spacing w:before="120" w:after="200"/>
              <w:rPr>
                <w:rFonts w:ascii="Arial" w:eastAsia="Times New Roman" w:hAnsi="Arial" w:cs="Arial"/>
                <w:b/>
                <w:bCs/>
                <w:sz w:val="19"/>
                <w:szCs w:val="19"/>
              </w:rPr>
            </w:pPr>
            <w:r>
              <w:rPr>
                <w:rFonts w:ascii="Arial" w:eastAsia="Times New Roman" w:hAnsi="Arial" w:cs="Arial"/>
                <w:b/>
                <w:bCs/>
                <w:sz w:val="19"/>
                <w:szCs w:val="19"/>
              </w:rPr>
              <w:t>Status / note</w:t>
            </w:r>
          </w:p>
        </w:tc>
      </w:tr>
      <w:tr w:rsidR="00000000" w14:paraId="538F136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19E26E9"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Curriculum vitae (max. 2 pages)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B4790EA"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Condense from CV_Max_Buczek; focus: doctorate, methodological profile, publications, supervision</w:t>
            </w:r>
          </w:p>
        </w:tc>
      </w:tr>
      <w:tr w:rsidR="00000000" w14:paraId="44011F2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2E96C88"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Research proposal (max. 5 pages)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FF563C4"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 xml:space="preserve">This exposé – </w:t>
            </w:r>
            <w:r>
              <w:rPr>
                <w:rFonts w:ascii="Arial" w:eastAsia="Times New Roman" w:hAnsi="Arial" w:cs="Arial"/>
                <w:b/>
                <w:bCs/>
                <w:sz w:val="19"/>
                <w:szCs w:val="19"/>
              </w:rPr>
              <w:t>coordinate with Prof. Chueh before submission</w:t>
            </w:r>
            <w:r>
              <w:rPr>
                <w:rFonts w:ascii="Arial" w:eastAsia="Times New Roman" w:hAnsi="Arial" w:cs="Arial"/>
                <w:sz w:val="19"/>
                <w:szCs w:val="19"/>
              </w:rPr>
              <w:t xml:space="preserve"> (AvH requirement: independently developed, coordinated with the host)</w:t>
            </w:r>
          </w:p>
        </w:tc>
      </w:tr>
      <w:tr w:rsidR="00000000" w14:paraId="4EBA463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A1624C3"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Complete list of publications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E8D531D"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Incl. conference contributions and patent application</w:t>
            </w:r>
          </w:p>
        </w:tc>
      </w:tr>
      <w:tr w:rsidR="00000000" w14:paraId="5373C69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B23AAA7"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1–3 key publications with justification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56B53E"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Recommendation: Chem. Rev. 2025 (command of the field, first author), Adv. Electron. Mater. 2026 (device innovation), Thin Solid Films 2024 (PLD methodology)</w:t>
            </w:r>
          </w:p>
        </w:tc>
      </w:tr>
      <w:tr w:rsidR="00000000" w14:paraId="2236136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95879D"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Doctoral certificate / proof</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8061D5"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If applying before completion: declaration that the dissertation will be submitted within 6 months</w:t>
            </w:r>
          </w:p>
        </w:tc>
      </w:tr>
      <w:tr w:rsidR="00000000" w14:paraId="1A62C52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923267"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Host’s statement + confirmation of research place (incl. mentoring agreement and co-funding commitment)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6A45BCD"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Prof. Chueh uploads directly to the AvH portal; raise the host contribution (approx. 1/3 of the fellowship; USA is a contributing country) early</w:t>
            </w:r>
          </w:p>
        </w:tc>
      </w:tr>
      <w:tr w:rsidR="00000000" w14:paraId="33D50CF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A314DFD"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Two expert reviews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089DC4C" w14:textId="77777777" w:rsidR="001761AA" w:rsidRDefault="001761AA">
            <w:pPr>
              <w:spacing w:before="120" w:after="200"/>
              <w:rPr>
                <w:rFonts w:ascii="Arial" w:eastAsia="Times New Roman" w:hAnsi="Arial" w:cs="Arial"/>
                <w:sz w:val="19"/>
                <w:szCs w:val="19"/>
              </w:rPr>
            </w:pPr>
            <w:r>
              <w:rPr>
                <w:rFonts w:ascii="Arial" w:eastAsia="Times New Roman" w:hAnsi="Arial" w:cs="Arial"/>
                <w:sz w:val="19"/>
                <w:szCs w:val="19"/>
              </w:rPr>
              <w:t>Recommendation: Prof. R. Dittmann (doctoral supervisor) + one external, preferably international referee [e.g. from the NeuroSys consortium or the E-MRS environment]</w:t>
            </w:r>
          </w:p>
        </w:tc>
      </w:tr>
    </w:tbl>
    <w:p w14:paraId="0F5FA399" w14:textId="77777777" w:rsidR="001761AA" w:rsidRDefault="001761AA">
      <w:pPr>
        <w:pStyle w:val="Heading2"/>
        <w:rPr>
          <w:rFonts w:ascii="Arial" w:eastAsia="Times New Roman" w:hAnsi="Arial" w:cs="Arial"/>
        </w:rPr>
      </w:pPr>
      <w:r>
        <w:rPr>
          <w:rFonts w:ascii="Arial" w:eastAsia="Times New Roman" w:hAnsi="Arial" w:cs="Arial"/>
        </w:rPr>
        <w:t>Fellowship benefits (for orientation, as of 2026)</w:t>
      </w:r>
    </w:p>
    <w:p w14:paraId="6313D0B7" w14:textId="77777777" w:rsidR="001761AA" w:rsidRDefault="001761AA">
      <w:pPr>
        <w:pStyle w:val="NormalWeb"/>
        <w:rPr>
          <w:rFonts w:ascii="Arial" w:hAnsi="Arial" w:cs="Arial"/>
          <w:sz w:val="21"/>
          <w:szCs w:val="21"/>
        </w:rPr>
      </w:pPr>
      <w:r>
        <w:rPr>
          <w:rFonts w:ascii="Arial" w:hAnsi="Arial" w:cs="Arial"/>
          <w:sz w:val="21"/>
          <w:szCs w:val="21"/>
        </w:rPr>
        <w:t>Base fellowship € 2,187.50/month (minus host contribution) + foreign allowance USA (€ 1,892 single or € 2,528–</w:t>
      </w:r>
      <w:r>
        <w:rPr>
          <w:rFonts w:ascii="Arial" w:hAnsi="Arial" w:cs="Arial"/>
          <w:sz w:val="21"/>
          <w:szCs w:val="21"/>
        </w:rPr>
        <w:t>2,807 with family) + research cost allowance € 312.50/month + travel lump sums; family benefits (partner allowance € 205, child allowance € 400/100); afterwards optionally the Feodor Lynen Return Fellowship (up to 12 months, € 3,600/month) to bridge until group funding. Applications accepted at any time; selection meetings February/June/October; success rate approx. 40 %.</w:t>
      </w:r>
    </w:p>
    <w:sectPr w:rsidR="001761A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7DB9"/>
    <w:rsid w:val="00107DB9"/>
    <w:rsid w:val="001761AA"/>
    <w:rsid w:val="004F21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4349C8"/>
  <w15:chartTrackingRefBased/>
  <w15:docId w15:val="{261E589B-C3D7-4609-A97C-0991B1F06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1A5632"/>
      <w:kern w:val="36"/>
      <w:sz w:val="28"/>
      <w:szCs w:val="28"/>
    </w:rPr>
  </w:style>
  <w:style w:type="paragraph" w:styleId="Heading2">
    <w:name w:val="heading 2"/>
    <w:basedOn w:val="Normal"/>
    <w:link w:val="Heading2Char"/>
    <w:uiPriority w:val="9"/>
    <w:qFormat/>
    <w:pPr>
      <w:spacing w:before="260" w:after="120"/>
      <w:outlineLvl w:val="1"/>
    </w:pPr>
    <w:rPr>
      <w:b/>
      <w:bCs/>
      <w:color w:val="1A5632"/>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34753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2259</Words>
  <Characters>12880</Characters>
  <Application>Microsoft Office Word</Application>
  <DocSecurity>4</DocSecurity>
  <Lines>107</Lines>
  <Paragraphs>30</Paragraphs>
  <ScaleCrop>false</ScaleCrop>
  <Company/>
  <LinksUpToDate>false</LinksUpToDate>
  <CharactersWithSpaces>15109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Feodor Lynen Research Fellowship - Application Buczek (English)</dc:title>
  <dc:subject/>
  <dc:creator>Buczek, Max</dc:creator>
  <cp:keywords/>
  <dc:description/>
  <cp:lastModifiedBy>Buczek, Max</cp:lastModifiedBy>
  <cp:revision>2</cp:revision>
  <dcterms:created xsi:type="dcterms:W3CDTF">2026-08-09T14:13:00Z</dcterms:created>
  <dcterms:modified xsi:type="dcterms:W3CDTF">2026-08-09T14:13:00Z</dcterms:modified>
</cp:coreProperties>
</file>