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FE68" w14:textId="77777777" w:rsidR="002F0DB5" w:rsidRDefault="002F0DB5">
      <w:pPr>
        <w:pStyle w:val="Heading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Mailentwurf: Projektidee an Regina Dittmann und David Müller</w:t>
      </w:r>
    </w:p>
    <w:p w14:paraId="78E0A79B" w14:textId="77777777" w:rsidR="002F0DB5" w:rsidRDefault="002F0DB5">
      <w:pPr>
        <w:pStyle w:val="meta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Entwurf vom 09.08.2026 · Status: zum Versand vorbereitet · </w:t>
      </w:r>
      <w:r>
        <w:rPr>
          <w:rFonts w:ascii="Arial" w:hAnsi="Arial" w:cs="Arial"/>
        </w:rPr>
        <w:t xml:space="preserve">Anhänge: Materialsysteme-Vergleich + Literaturprüfung (09.08.2026) + Materialscreening (09.08.2026) + wahlweise einzelne Antragssets aus den sechs Materialordnern</w:t>
      </w:r>
    </w:p>
    <w:p w14:paraId="5D8ADE9E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Betreff:</w:t>
      </w:r>
      <w:r>
        <w:rPr>
          <w:rFonts w:ascii="Arial" w:hAnsi="Arial" w:cs="Arial"/>
          <w:sz w:val="22"/>
          <w:szCs w:val="22"/>
        </w:rPr>
        <w:t xml:space="preserve"> Projektidee: Kovalenz als Deskriptor für memristives Schalten – eure Einschätzung?</w:t>
      </w:r>
    </w:p>
    <w:p w14:paraId="338B303C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Liebe Regina, lieber David,</w:t>
      </w:r>
    </w:p>
    <w:p w14:paraId="7DC649A8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ich trage seit einer Weile eine Projektidee mit mir herum und würde gerne eure Einschätzung hören, bevor ich sie ernsthaft weiterverfolge.</w:t>
      </w:r>
    </w:p>
    <w:p w14:paraId="3B04A665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Die Idee in Kürze:</w:t>
      </w:r>
      <w:r>
        <w:rPr>
          <w:rFonts w:ascii="Arial" w:hAnsi="Arial" w:cs="Arial"/>
          <w:sz w:val="22"/>
          <w:szCs w:val="22"/>
        </w:rPr>
        <w:t xml:space="preserve"> In der Energieforschung ist gut etabliert, dass die Bildungsenergie von Sauerstoffleerstellen in Perowskiten von der Metall-Sauerstoff-Kovalenz kontrolliert wird und sich als Deskriptor für Materialeigenschaften nutzen lässt. In unserem Feld spielt die Leerstellen-Energetik zwar überall eine zentrale Rolle, aber meines Wissens hat noch niemand die Kovalenz systematisch als Kontrollvariable variiert und gegen die Schaltkenngrößen aufgetragen. Die Grundidee wäre: Kovalenz in Perowskiten gezielt einstellen, per XAS quantifizieren, gegen das Schaltverhalten auftragen – und daraus langfristig eine Art „Landkarte“ bauen, die Bindungscharakter und Schaltverhalten verknüpft, ähnlich dem, was Wuttig für Chalkogenide gemacht hat.</w:t>
      </w:r>
    </w:p>
    <w:p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Wichtig zur Einordnung der Anhänge: Nur die Projektidee selbst stammt von mir – die gesamte Ausarbeitung ist mit Claude Code entstanden (auch diese Mail in Teilen); ich teste gerade konsequent, wo das Tool hilft, und bin ehrlich neugierig, was ihr von der Qualität der Ergebnisse haltet. Der Stand: sechs Materialsysteme – </w:t>
      </w:r>
      <w:r>
        <w:rPr>
          <w:rFonts w:ascii="Arial" w:hAnsi="Arial" w:cs="Arial"/>
          <w:b/>
          <w:bCs/>
          <w:sz w:val="22"/>
          <w:szCs w:val="22"/>
        </w:rPr>
        <w:t xml:space="preserve">SrTi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b/>
          <w:bCs/>
          <w:sz w:val="22"/>
          <w:szCs w:val="22"/>
        </w:rPr>
        <w:t xml:space="preserve">Fe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b/>
          <w:bCs/>
          <w:sz w:val="22"/>
          <w:szCs w:val="22"/>
        </w:rPr>
        <w:t xml:space="preserve">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3-δ</w:t>
      </w:r>
      <w:r>
        <w:rPr>
          <w:rFonts w:ascii="Arial" w:hAnsi="Arial" w:cs="Arial"/>
          <w:b/>
          <w:bCs/>
          <w:sz w:val="22"/>
          <w:szCs w:val="22"/>
        </w:rPr>
        <w:t xml:space="preserve">, </w:t>
      </w:r>
      <w:r>
        <w:rPr>
          <w:rFonts w:ascii="Arial" w:hAnsi="Arial" w:cs="Arial"/>
          <w:b/>
          <w:bCs/>
          <w:sz w:val="22"/>
          <w:szCs w:val="22"/>
        </w:rPr>
        <w:t xml:space="preserve">Pr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b/>
          <w:bCs/>
          <w:sz w:val="22"/>
          <w:szCs w:val="22"/>
        </w:rPr>
        <w:t xml:space="preserve">Ca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b/>
          <w:bCs/>
          <w:sz w:val="22"/>
          <w:szCs w:val="22"/>
        </w:rPr>
        <w:t xml:space="preserve">MnO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3</w:t>
      </w:r>
      <w:r>
        <w:rPr>
          <w:rFonts w:ascii="Arial" w:hAnsi="Arial" w:cs="Arial"/>
          <w:b/>
          <w:bCs/>
          <w:sz w:val="22"/>
          <w:szCs w:val="22"/>
        </w:rPr>
        <w:t xml:space="preserve">, </w:t>
      </w:r>
      <w:r>
        <w:rPr>
          <w:rFonts w:ascii="Arial" w:hAnsi="Arial" w:cs="Arial"/>
          <w:b/>
          <w:bCs/>
          <w:sz w:val="22"/>
          <w:szCs w:val="22"/>
        </w:rPr>
        <w:t xml:space="preserve">La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b/>
          <w:bCs/>
          <w:sz w:val="22"/>
          <w:szCs w:val="22"/>
        </w:rPr>
        <w:t xml:space="preserve">Sr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b/>
          <w:bCs/>
          <w:sz w:val="22"/>
          <w:szCs w:val="22"/>
        </w:rPr>
        <w:t xml:space="preserve">FeO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3-δ</w:t>
      </w:r>
      <w:r>
        <w:rPr>
          <w:rFonts w:ascii="Arial" w:hAnsi="Arial" w:cs="Arial"/>
          <w:b/>
          <w:bCs/>
          <w:sz w:val="22"/>
          <w:szCs w:val="22"/>
        </w:rPr>
        <w:t xml:space="preserve">, </w:t>
      </w:r>
      <w:r>
        <w:rPr>
          <w:rFonts w:ascii="Arial" w:hAnsi="Arial" w:cs="Arial"/>
          <w:b/>
          <w:bCs/>
          <w:sz w:val="22"/>
          <w:szCs w:val="22"/>
        </w:rPr>
        <w:t xml:space="preserve">La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b/>
          <w:bCs/>
          <w:sz w:val="22"/>
          <w:szCs w:val="22"/>
        </w:rPr>
        <w:t xml:space="preserve">Sr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b/>
          <w:bCs/>
          <w:sz w:val="22"/>
          <w:szCs w:val="22"/>
        </w:rPr>
        <w:t xml:space="preserve">CoO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3-δ</w:t>
      </w:r>
      <w:r>
        <w:rPr>
          <w:rFonts w:ascii="Arial" w:hAnsi="Arial" w:cs="Arial"/>
          <w:b/>
          <w:bCs/>
          <w:sz w:val="22"/>
          <w:szCs w:val="22"/>
        </w:rPr>
        <w:t xml:space="preserve"> (mit </w:t>
      </w:r>
      <w:r>
        <w:rPr>
          <w:rFonts w:ascii="Arial" w:hAnsi="Arial" w:cs="Arial"/>
          <w:b/>
          <w:bCs/>
          <w:sz w:val="22"/>
          <w:szCs w:val="22"/>
        </w:rPr>
        <w:t xml:space="preserve">SrCoO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b/>
          <w:bCs/>
          <w:sz w:val="22"/>
          <w:szCs w:val="22"/>
        </w:rPr>
        <w:t xml:space="preserve">-Anker), </w:t>
      </w:r>
      <w:r>
        <w:rPr>
          <w:rFonts w:ascii="Arial" w:hAnsi="Arial" w:cs="Arial"/>
          <w:b/>
          <w:bCs/>
          <w:sz w:val="22"/>
          <w:szCs w:val="22"/>
        </w:rPr>
        <w:t xml:space="preserve">YBa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2</w:t>
      </w:r>
      <w:r>
        <w:rPr>
          <w:rFonts w:ascii="Arial" w:hAnsi="Arial" w:cs="Arial"/>
          <w:b/>
          <w:bCs/>
          <w:sz w:val="22"/>
          <w:szCs w:val="22"/>
        </w:rPr>
        <w:t xml:space="preserve">Cu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3</w:t>
      </w:r>
      <w:r>
        <w:rPr>
          <w:rFonts w:ascii="Arial" w:hAnsi="Arial" w:cs="Arial"/>
          <w:b/>
          <w:bCs/>
          <w:sz w:val="22"/>
          <w:szCs w:val="22"/>
        </w:rPr>
        <w:t xml:space="preserve">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7-δ</w:t>
      </w:r>
      <w:r>
        <w:rPr>
          <w:rFonts w:ascii="Arial" w:hAnsi="Arial" w:cs="Arial"/>
          <w:b/>
          <w:bCs/>
          <w:sz w:val="22"/>
          <w:szCs w:val="22"/>
        </w:rPr>
        <w:t xml:space="preserve"> und Gd-dotiertes </w:t>
      </w:r>
      <w:r>
        <w:rPr>
          <w:rFonts w:ascii="Arial" w:hAnsi="Arial" w:cs="Arial"/>
          <w:b/>
          <w:bCs/>
          <w:sz w:val="22"/>
          <w:szCs w:val="22"/>
        </w:rPr>
        <w:t xml:space="preserve">CeO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2</w:t>
      </w:r>
      <w:r>
        <w:rPr>
          <w:rFonts w:ascii="Arial" w:hAnsi="Arial" w:cs="Arial"/>
          <w:b/>
          <w:bCs/>
          <w:sz w:val="22"/>
          <w:szCs w:val="22"/>
        </w:rPr>
        <w:t xml:space="preserve"> – </w:t>
      </w:r>
      <w:r>
        <w:rPr>
          <w:rFonts w:ascii="Arial" w:hAnsi="Arial" w:cs="Arial"/>
          <w:b/>
          <w:bCs/>
          <w:sz w:val="22"/>
          <w:szCs w:val="22"/>
        </w:rPr>
        <w:t xml:space="preserve">mit je einem kompletten Antragsset (Feodor Lynen, DAAD PRIME, DFG Walter Benjamin und MSCA Postdoctoral Fellowship als Postdoc-Varianten, dazu Emmy Noether und ERC Starting Grant)</w:t>
      </w:r>
      <w:r>
        <w:rPr>
          <w:rFonts w:ascii="Arial" w:hAnsi="Arial" w:cs="Arial"/>
          <w:b/>
          <w:bCs/>
          <w:sz w:val="22"/>
          <w:szCs w:val="22"/>
        </w:rPr>
        <w:t xml:space="preserve">. Die Auswahl folgt einer strikten Drei-Kriterien-Beleglogik (Kovalenzänderung mit der Stöchiometrie per XAS belegt; Änderung der Leerstellen-Bildungsenergie mit der Kovalenz belegt; resistives Schalten an einer Edelmetall-Grenzfläche nachgewiesen), alle Literaturverweise sind einzeln gegen die Verlagsangaben verifiziert, und die ERC-/Emmy-Noether-Fassungen benennen vorgeprüfte Blind-Validierungskandidaten für die „Landkarten“-Idee. Details in der angehängten Vergleichsübersicht, der Literaturprüfung und dem Screening-Dokument; die einzelnen Antragssets schicke ich gerne nach, oder wir schauen sie gemeinsam durch. Von mir persönlich gegengeprüft ist der Inhalt aber nicht – behandelt Zahlenwerte und Bewertungen bitte mit entsprechender Vorsicht und nagelt mich auf nichts davon fest; die Dokumente sollen nur illustrieren, wohin die Reise gehen könnte.</w:t>
      </w:r>
    </w:p>
    <w:p w14:paraId="3B6C4F21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Ein Beispiel dafür: Das Lynen-Exposé hat Claude Code auf die Chueh-Gruppe in Stanford zugeschnitten (Vorschlag des Tools nach Abgleich von Themenpassung und Humboldt-Gastgeberkriterien). David, du warst ja dort und kennst Gruppe und Umfeld aus erster Hand – von außen schienen die experimentellen Möglichkeiten (Defektchemie, direkter SSRL-Zugang für XAS) gut zu passen. Ob das aus deiner Innensicht stimmt, wäre für mich eine der wertvollsten Rückmeldungen überhaupt. Genauso interessiert mich deine Meinung zur XAS-Seite der Idee generell.</w:t>
      </w:r>
    </w:p>
    <w:p w14:paraId="452480A0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Meine Fragen an euch:</w:t>
      </w:r>
      <w:r>
        <w:rPr>
          <w:rFonts w:ascii="Arial" w:hAnsi="Arial" w:cs="Arial"/>
          <w:sz w:val="22"/>
          <w:szCs w:val="22"/>
        </w:rPr>
        <w:t xml:space="preserve"> Haltet ihr die Fragestellung für wissenschaftlich tragfähig? Seht ihr Killer-Argumente oder praktische Probleme, die ich übersehe? Und hältst du, Regina, die Richtung Auslandspostdoc → eigene Gruppe grundsätzlich für den richtigen Weg für mich? Mir ist auch wichtig, dass das Ganze sauber komplementär zu unseren Gruppenthemen aufgesetzt wäre – auch dazu gerne deine Sicht.</w:t>
      </w:r>
    </w:p>
    <w:p w14:paraId="24675996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Am liebsten würde ich dazu in den nächsten Wochen mal eine halbe Stunde mit euch zusammensitzen – ganz unverbindlich, mir geht es erst einmal darum, ob ihr es für sinnvoll haltet, dass ich das weiterverfolge.</w:t>
      </w:r>
    </w:p>
    <w:p w14:paraId="2BE492B4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Viele Grüße</w:t>
        <w:br/>
        <w:t>Max</w:t>
      </w:r>
    </w:p>
    <w:sectPr w:rsidR="002F0D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4F5"/>
    <w:rsid w:val="002D14F5"/>
    <w:rsid w:val="002F0DB5"/>
    <w:rsid w:val="00F6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888E86"/>
  <w15:chartTrackingRefBased/>
  <w15:docId w15:val="{E0602CBF-A395-4AF0-BD05-71B76EF9E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40"/>
      <w:outlineLvl w:val="0"/>
    </w:pPr>
    <w:rPr>
      <w:b/>
      <w:bCs/>
      <w:color w:val="333333"/>
      <w:kern w:val="3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msonormal0">
    <w:name w:val="msonormal"/>
    <w:basedOn w:val="Normal"/>
    <w:pPr>
      <w:spacing w:after="180"/>
    </w:pPr>
  </w:style>
  <w:style w:type="paragraph" w:styleId="NormalWeb">
    <w:name w:val="Normal (Web)"/>
    <w:basedOn w:val="Normal"/>
    <w:uiPriority w:val="99"/>
    <w:semiHidden/>
    <w:unhideWhenUsed/>
    <w:pPr>
      <w:spacing w:after="180"/>
    </w:pPr>
  </w:style>
  <w:style w:type="paragraph" w:customStyle="1" w:styleId="meta">
    <w:name w:val="meta"/>
    <w:basedOn w:val="Normal"/>
    <w:pPr>
      <w:spacing w:before="100" w:beforeAutospacing="1" w:after="280"/>
    </w:pPr>
    <w:rPr>
      <w:color w:val="55555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578</Words>
  <Characters>3295</Characters>
  <Application>Microsoft Office Word</Application>
  <DocSecurity>4</DocSecurity>
  <Lines>27</Lines>
  <Paragraphs>7</Paragraphs>
  <ScaleCrop>false</ScaleCrop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Mailentwurf Projektidee an Dittmann und Mueller</dc:title>
  <dc:subject/>
  <dc:creator>Buczek, Max</dc:creator>
  <cp:keywords/>
  <dc:description/>
  <cp:lastModifiedBy>Buczek, Max</cp:lastModifiedBy>
  <cp:revision>2</cp:revision>
  <dcterms:created xsi:type="dcterms:W3CDTF">2026-08-09T14:47:00Z</dcterms:created>
  <dcterms:modified xsi:type="dcterms:W3CDTF">2026-08-09T14:47:00Z</dcterms:modified>
</cp:coreProperties>
</file>