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Marie Skłodowska-Curie Actions – Postdoctoral Fellowship (Global Fellowship)</w:t>
      </w:r>
    </w:p>
    <w:p>
      <w:pPr>
        <w:pStyle w:val="Title"/>
      </w:pPr>
      <w:r>
        <w:t xml:space="preserve">Programme Adaptation: Covalency as a Switching Descriptor – the SrTi1-xFexO3-δ Model Series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Applicant: Dr. Max Buczek (PGI-7, Forschungszentrum Jülich) · Host abroad: Prof. W. C. Chueh, Stanford University / SLAC (SSRL) · Status: programme-specific adaptation of this folder’s pilot project; the scientific core is defined in the Feodor Lynen exposé of this folder (Feodor-Lynen-Application_STF_Stanford-Chueh_EN, Sections 1–4) and carries over unchanged. Added 09.08.2026 alongside the Lynen/Emmy Noether/ERC set.</w:t>
      </w:r>
    </w:p>
    <w:p>
      <w:pPr>
        <w:pStyle w:val="Heading1"/>
        <w:spacing w:after="120" w:before="240"/>
      </w:pPr>
      <w:r>
        <w:t xml:space="preserve">1  Programme fact sheet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Format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 Postdoctoral Fellowship: 24-month outgoing phase at Stanford University / SLAC (third country) + mandatory 12-month return phase at the European host [FZ Jülich or RWTH Aachen as applicant/beneficiary organisation]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Funding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Horizon Europe unit costs: living, mobility and (if applicable) family allowances, country-corrected [insert current rates]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Eligibility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PhD ≤ 8 years at call deadline; MSCA mobility rule for the outgoing host country (max. 12 months in the USA within the 36 months before the deadline) [verify against personal record]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Annual single-stage call [insert current deadline, typically September], submitted by the European host institution</w:t>
            </w:r>
          </w:p>
        </w:tc>
      </w:tr>
      <w:tr>
        <w:tc>
          <w:tcPr>
            <w:tcW w:type="dxa" w:w="2400"/>
            <w:shd w:fill="EEF1F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Special feature</w:t>
            </w:r>
          </w:p>
        </w:tc>
        <w:tc>
          <w:tcPr>
            <w:tcW w:type="dxa" w:w="667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Explicit training, supervision and two-way knowledge-transfer requirements; funded return phase</w:t>
            </w:r>
          </w:p>
        </w:tc>
      </w:tr>
    </w:tbl>
    <w:p>
      <w:pPr>
        <w:pStyle w:val="Heading1"/>
        <w:spacing w:after="120" w:before="240"/>
      </w:pPr>
      <w:r>
        <w:t xml:space="preserve">2  Programme fit and strategy</w:t>
      </w:r>
    </w:p>
    <w:p>
      <w:pPr>
        <w:spacing w:after="120"/>
      </w:pPr>
      <w:r>
        <w:t xml:space="preserve">The MSCA Global Fellowship extends the Lynen-type pilot with a funded 12-month return phase: the outgoing 24 months at Stanford run the identical work programme, and the return phase at the European host institutionalises exactly what the group programme needs – transfer of the SSRL-proven XAS protocols to European beamlines, integration of the descriptor dataset into the map, and preparation of the ERC/Emmy Noether bid. MSCA-specific proposal sections (training objectives, supervision arrangement between Prof. Chueh and the German host, dissemination and exploitation plan, two-way transfer of knowledge) must be added per the current template; the scientific core carries over unchanged.</w:t>
      </w:r>
    </w:p>
    <w:p>
      <w:pPr>
        <w:pStyle w:val="Heading1"/>
        <w:spacing w:after="120" w:before="240"/>
      </w:pPr>
      <w:r>
        <w:t xml:space="preserve">3  Project core (summary)</w:t>
      </w:r>
    </w:p>
    <w:p>
      <w:pPr>
        <w:spacing w:after="120"/>
      </w:pPr>
      <w:r>
        <w:t xml:space="preserve">Covalency as an experimental descriptor of intrinsic memristive switching in SrTi1-xFexO3-δ (STF) – the only perovskite series in which intrinsic Pt-interface switching, a graphene-sealed spectroscopy platform and a closed-form defect chemistry (Eg(x), ΔHred(x); Rothschild 2006) already coexist. The project grows the Fe composition series, measures the XAS covalency scale at SSRL and correlates it with the switching statistics of the same cells; stoichiometry-controlled switching at a Pt interface is already demonstrated for the Sr/Ti cation axis (Mikheev 2015) and serves as the methodological blueprint.</w:t>
      </w:r>
    </w:p>
    <w:p>
      <w:pPr>
        <w:spacing w:after="120"/>
      </w:pPr>
      <w:r>
        <w:rPr>
          <w:sz w:val="18"/>
          <w:szCs w:val="18"/>
        </w:rPr>
        <w:t xml:space="preserve">Materials selection follows the portfolio’s three-criterion evidence logic (covalency vs. stoichiometry by XAS; EV vs. covalency; demonstrated switching at a noble-metal interface); all references of the underlying documents are individually verified against publisher records (see Literaturpruefung_2026-08-09 and Materialscreening_2026-08-09).</w:t>
      </w:r>
    </w:p>
    <w:p>
      <w:pPr>
        <w:pStyle w:val="Heading1"/>
        <w:spacing w:after="120" w:before="240"/>
      </w:pPr>
      <w:r>
        <w:t xml:space="preserve">4  Programme-adapted work plan</w:t>
      </w:r>
    </w:p>
    <w:p>
      <w:pPr>
        <w:spacing w:after="120"/>
      </w:pPr>
      <w:r>
        <w:t xml:space="preserve">Outgoing phase (months 1–24, Stanford): identical to the Lynen work programme WP1–WP3 of this folder. Return phase (months 25–36, Jülich/Aachen): European beamline campaigns (BESSY II/PETRA III), cross-class integration of the descriptor data into the map, publication of the extended dataset, submission of the group proposal; supervision and training plan per MSCA rules spanning both phases.</w:t>
      </w:r>
    </w:p>
    <w:p>
      <w:pPr>
        <w:pStyle w:val="Heading1"/>
        <w:spacing w:after="120" w:before="240"/>
      </w:pPr>
      <w:r>
        <w:t xml:space="preserve">5  Notes before submission</w:t>
      </w:r>
    </w:p>
    <w:p>
      <w:pPr>
        <w:spacing w:after="120"/>
      </w:pPr>
      <w:r>
        <w:rPr>
          <w:sz w:val="18"/>
          <w:szCs w:val="18"/>
        </w:rPr>
        <w:t xml:space="preserve">• Verify all bracketed programme details (rates, deadlines, current call conditions) against the funder’s current documentation. • Coordinate the proposal with Prof. Chueh and fix the German host institution (RWTH Aachen vs. FZ Jülich) – both required by all three programmes. • Only one of the postdoc programmes (Feodor Lynen, DAAD PRIME, Walter Benjamin, MSCA PF) will be pursued for this stay; the parallel drafts exist to compare formats, not for parallel submission – check each funder’s double-funding rules. • Manuscript placeholders [E4]/[P1] of the underlying documents apply here analogously.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2026-08-10T07:19:04.109Z</dcterms:created>
  <dcterms:modified xsi:type="dcterms:W3CDTF">2026-08-10T07:19:04.109Z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