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DAAD PRIME – Postdoctoral Researchers International Mobility Experience</w:t>
      </w:r>
    </w:p>
    <w:p>
      <w:pPr>
        <w:pStyle w:val="Title"/>
      </w:pPr>
      <w:r>
        <w:t xml:space="preserve">Programme Adaptation: Covalency as a Switching Descriptor – the Pr1-xCaxMnO3 Series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Applicant: Dr. Max Buczek (PGI-7, Forschungszentrum Jülich) · Host abroad: Prof. W. C. Chueh, Stanford University / SLAC (SSRL) · Status: programme-specific adaptation of this folder’s pilot project; the scientific core is defined in the Feodor Lynen exposé of this folder (FeodorLynen_PCMO_EN, Sections 1–4) and carries over unchanged. Added 09.08.2026 alongside the Lynen/Emmy Noether/ERC set.</w:t>
      </w:r>
    </w:p>
    <w:p>
      <w:pPr>
        <w:pStyle w:val="Heading1"/>
        <w:spacing w:after="120" w:before="240"/>
      </w:pPr>
      <w:r>
        <w:t xml:space="preserve">1  Programme fact sheet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2400"/>
            <w:shd w:fill="EEF1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Format</w:t>
            </w:r>
          </w:p>
        </w:tc>
        <w:tc>
          <w:tcPr>
            <w:tcW w:type="dxa" w:w="6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18-month employment contract (TV-L E13) at a German university: 12 months abroad (Stanford University / SLAC) + 6-month reintegration phase in Germany [RWTH Aachen or FZ Jülich – commitment of the German host required]</w:t>
            </w:r>
          </w:p>
        </w:tc>
      </w:tr>
      <w:tr>
        <w:tc>
          <w:tcPr>
            <w:tcW w:type="dxa" w:w="2400"/>
            <w:shd w:fill="EEF1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Funding body</w:t>
            </w:r>
          </w:p>
        </w:tc>
        <w:tc>
          <w:tcPr>
            <w:tcW w:type="dxa" w:w="6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DAAD [verify current call, co-funding and conditions before submission]</w:t>
            </w:r>
          </w:p>
        </w:tc>
      </w:tr>
      <w:tr>
        <w:tc>
          <w:tcPr>
            <w:tcW w:type="dxa" w:w="2400"/>
            <w:shd w:fill="EEF1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Eligibility</w:t>
            </w:r>
          </w:p>
        </w:tc>
        <w:tc>
          <w:tcPr>
            <w:tcW w:type="dxa" w:w="6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Doctorate completed before funding start; no nationality restriction</w:t>
            </w:r>
          </w:p>
        </w:tc>
      </w:tr>
      <w:tr>
        <w:tc>
          <w:tcPr>
            <w:tcW w:type="dxa" w:w="2400"/>
            <w:shd w:fill="EEF1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Application</w:t>
            </w:r>
          </w:p>
        </w:tc>
        <w:tc>
          <w:tcPr>
            <w:tcW w:type="dxa" w:w="6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Annual call, submitted directly to the DAAD [insert current deadline]</w:t>
            </w:r>
          </w:p>
        </w:tc>
      </w:tr>
      <w:tr>
        <w:tc>
          <w:tcPr>
            <w:tcW w:type="dxa" w:w="2400"/>
            <w:shd w:fill="EEF1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Special feature</w:t>
            </w:r>
          </w:p>
        </w:tc>
        <w:tc>
          <w:tcPr>
            <w:tcW w:type="dxa" w:w="6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Position instead of stipend – full social security; reintegration phase is part of the programme</w:t>
            </w:r>
          </w:p>
        </w:tc>
      </w:tr>
    </w:tbl>
    <w:p>
      <w:pPr>
        <w:pStyle w:val="Heading1"/>
        <w:spacing w:after="120" w:before="240"/>
      </w:pPr>
      <w:r>
        <w:t xml:space="preserve">2  Programme fit and strategy</w:t>
      </w:r>
    </w:p>
    <w:p>
      <w:pPr>
        <w:spacing w:after="120"/>
      </w:pPr>
      <w:r>
        <w:t xml:space="preserve">PRIME is the employment-based alternative to the Feodor Lynen fellowship: the 24-month Stanford pilot is compressed into a focused 12-month campaign, and the built-in 6-month reintegration phase in Jülich/Aachen is used for correlation analysis, transfer of the XAS protocols to European beamlines and submission of the junior-group proposal (Emmy Noether/ERC) – the return step that Lynen funds separately is here part of the programme itself. Fallback within the DAAD portfolio: the classic postdoctoral research grants (stipend-based, up to 12 months) [verify current programme lines].</w:t>
      </w:r>
    </w:p>
    <w:p>
      <w:pPr>
        <w:pStyle w:val="Heading1"/>
        <w:spacing w:after="120" w:before="240"/>
      </w:pPr>
      <w:r>
        <w:t xml:space="preserve">3  Project core (summary)</w:t>
      </w:r>
    </w:p>
    <w:p>
      <w:pPr>
        <w:spacing w:after="120"/>
      </w:pPr>
      <w:r>
        <w:t xml:space="preserve">Covalency as an experimental descriptor of memristive switching in Pr1-xCaxMnO3 (PCMO) – the best-documented perovskite memristor family: the Asanuma composition benchmark (Phys. Rev. B 80, 235113) has waited fifteen years for a descriptor explanation, Pt/PCMO/Pt switching with oxygen-stoichiometry dependence is demonstrated (Kramer 2017), and the applicant’s doctoral expertise de-risks growth, processing and metrology. The project measures the missing covalency axis (XAS) and tests whether the Asanuma optimum is the covalency optimum.</w:t>
      </w:r>
    </w:p>
    <w:p>
      <w:pPr>
        <w:spacing w:after="120"/>
      </w:pPr>
      <w:r>
        <w:rPr>
          <w:sz w:val="18"/>
          <w:szCs w:val="18"/>
        </w:rPr>
        <w:t xml:space="preserve">Materials selection follows the portfolio’s three-criterion evidence logic (covalency vs. stoichiometry by XAS; EV vs. covalency; demonstrated switching at a noble-metal interface); all references of the underlying documents are individually verified against publisher records (see Literaturpruefung_2026-08-09 and Materialscreening_2026-08-09).</w:t>
      </w:r>
    </w:p>
    <w:p>
      <w:pPr>
        <w:pStyle w:val="Heading1"/>
        <w:spacing w:after="120" w:before="240"/>
      </w:pPr>
      <w:r>
        <w:t xml:space="preserve">4  Programme-adapted work plan</w:t>
      </w:r>
    </w:p>
    <w:p>
      <w:pPr>
        <w:spacing w:after="120"/>
      </w:pPr>
      <w:r>
        <w:t xml:space="preserve">Months 1–8 (Stanford): synthesis of the composition series and first SSRL XAS campaign (descriptor scale). Months 6–12 (Stanford): device processing and switching statistics on the noble-contact platform; second XAS campaign on switched cells. Months 13–18 (Germany, reintegration): correlation analysis, European beamline transfer (BESSY II/PETRA III), publication and FAIR dataset release, submission of the group proposal. Milestones: M1 descriptor set (month 8), M2 switching statistics (month 12), M3 publication + group proposal (month 18). Compared to the Lynen plan, the composition grid is thinned to the decision-critical points; the reintegration phase absorbs WP3.</w:t>
      </w:r>
    </w:p>
    <w:p>
      <w:pPr>
        <w:pStyle w:val="Heading1"/>
        <w:spacing w:after="120" w:before="240"/>
      </w:pPr>
      <w:r>
        <w:t xml:space="preserve">5  Notes before submission</w:t>
      </w:r>
    </w:p>
    <w:p>
      <w:pPr>
        <w:spacing w:after="120"/>
      </w:pPr>
      <w:r>
        <w:rPr>
          <w:sz w:val="18"/>
          <w:szCs w:val="18"/>
        </w:rPr>
        <w:t xml:space="preserve">• Verify all bracketed programme details (rates, deadlines, current call conditions) against the funder’s current documentation. • Coordinate the proposal with Prof. Chueh and fix the German host institution (RWTH Aachen vs. FZ Jülich) – both required by all three programmes. • Only one of the postdoc programmes (Feodor Lynen, DAAD PRIME, Walter Benjamin, MSCA PF) will be pursued for this stay; the parallel drafts exist to compare formats, not for parallel submission – check each funder’s double-funding rules. • Manuscript placeholders [E4]/[P1] of the underlying documents apply here analogously.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2026-08-10T07:19:03.954Z</dcterms:created>
  <dcterms:modified xsi:type="dcterms:W3CDTF">2026-08-10T07:19:03.954Z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