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</w:rPr>
        <w:t xml:space="preserve">DFG Walter Benjamin Programme</w:t>
      </w:r>
    </w:p>
    <w:p>
      <w:pPr>
        <w:pStyle w:val="Title"/>
      </w:pPr>
      <w:r>
        <w:t xml:space="preserve">Programme Adaptation: Covalency as a Switching Descriptor – the Pr1-xCaxMnO3 Series</w:t>
      </w:r>
    </w:p>
    <w:p>
      <w:pPr>
        <w:spacing w:after="120"/>
      </w:pPr>
      <w:r>
        <w:rPr>
          <w:i/>
          <w:iCs/>
          <w:sz w:val="18"/>
          <w:szCs w:val="18"/>
        </w:rPr>
        <w:t xml:space="preserve">Applicant: Dr. Max Buczek (PGI-7, Forschungszentrum Jülich) · Host abroad: Prof. W. C. Chueh, Stanford University / SLAC (SSRL) · Status: programme-specific adaptation of this folder’s pilot project; the scientific core is defined in the Feodor Lynen exposé of this folder (FeodorLynen_PCMO_EN, Sections 1–4) and carries over unchanged. Added 09.08.2026 alongside the Lynen/Emmy Noether/ERC set.</w:t>
      </w:r>
    </w:p>
    <w:p>
      <w:pPr>
        <w:pStyle w:val="Heading1"/>
        <w:spacing w:after="120" w:before="240"/>
      </w:pPr>
      <w:r>
        <w:t xml:space="preserve">1  Programme fact sheet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72"/>
      </w:tblGrid>
      <w:tr>
        <w:tc>
          <w:tcPr>
            <w:tcW w:type="dxa" w:w="2400"/>
            <w:shd w:fill="EEF1F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Format</w:t>
            </w:r>
          </w:p>
        </w:tc>
        <w:tc>
          <w:tcPr>
            <w:tcW w:type="dxa" w:w="667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Walter Benjamin fellowship for a 24-month stay abroad (Stanford University / SLAC); monthly stipend plus allowances [insert current DFG rates]; on return, DFG return funding (up to 12 months, position in Germany) [verify current terms]</w:t>
            </w:r>
          </w:p>
        </w:tc>
      </w:tr>
      <w:tr>
        <w:tc>
          <w:tcPr>
            <w:tcW w:type="dxa" w:w="2400"/>
            <w:shd w:fill="EEF1F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Funding body</w:t>
            </w:r>
          </w:p>
        </w:tc>
        <w:tc>
          <w:tcPr>
            <w:tcW w:type="dxa" w:w="667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DFG – same funding body as the planned Emmy Noether group</w:t>
            </w:r>
          </w:p>
        </w:tc>
      </w:tr>
      <w:tr>
        <w:tc>
          <w:tcPr>
            <w:tcW w:type="dxa" w:w="2400"/>
            <w:shd w:fill="EEF1F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Eligibility</w:t>
            </w:r>
          </w:p>
        </w:tc>
        <w:tc>
          <w:tcPr>
            <w:tcW w:type="dxa" w:w="667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Early postdoctoral career phase; application possible at any time (no deadlines)</w:t>
            </w:r>
          </w:p>
        </w:tc>
      </w:tr>
      <w:tr>
        <w:tc>
          <w:tcPr>
            <w:tcW w:type="dxa" w:w="2400"/>
            <w:shd w:fill="EEF1F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Application</w:t>
            </w:r>
          </w:p>
        </w:tc>
        <w:tc>
          <w:tcPr>
            <w:tcW w:type="dxa" w:w="667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DFG proposal format (project description, CV, host confirmation), via elan portal</w:t>
            </w:r>
          </w:p>
        </w:tc>
      </w:tr>
      <w:tr>
        <w:tc>
          <w:tcPr>
            <w:tcW w:type="dxa" w:w="2400"/>
            <w:shd w:fill="EEF1F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Special feature</w:t>
            </w:r>
          </w:p>
        </w:tc>
        <w:tc>
          <w:tcPr>
            <w:tcW w:type="dxa" w:w="667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Creates a continuous DFG track: pilot project → return funding → Emmy Noether</w:t>
            </w:r>
          </w:p>
        </w:tc>
      </w:tr>
    </w:tbl>
    <w:p>
      <w:pPr>
        <w:pStyle w:val="Heading1"/>
        <w:spacing w:after="120" w:before="240"/>
      </w:pPr>
      <w:r>
        <w:t xml:space="preserve">2  Programme fit and strategy</w:t>
      </w:r>
    </w:p>
    <w:p>
      <w:pPr>
        <w:spacing w:after="120"/>
      </w:pPr>
      <w:r>
        <w:t xml:space="preserve">The Walter Benjamin Programme is the DFG-native alternative to the Lynen fellowship: the identical 24-month work programme is funded as a fellowship abroad, and the subsequent return funding bridges directly into the Emmy Noether application – reviewers then see the entire path (pilot → return → group) within one funding organisation, with consistent terminology and the COMET-Ox proposal as the declared perspective.</w:t>
      </w:r>
    </w:p>
    <w:p>
      <w:pPr>
        <w:pStyle w:val="Heading1"/>
        <w:spacing w:after="120" w:before="240"/>
      </w:pPr>
      <w:r>
        <w:t xml:space="preserve">3  Project core (summary)</w:t>
      </w:r>
    </w:p>
    <w:p>
      <w:pPr>
        <w:spacing w:after="120"/>
      </w:pPr>
      <w:r>
        <w:t xml:space="preserve">Covalency as an experimental descriptor of memristive switching in Pr1-xCaxMnO3 (PCMO) – the best-documented perovskite memristor family: the Asanuma composition benchmark (Phys. Rev. B 80, 235113) has waited fifteen years for a descriptor explanation, Pt/PCMO/Pt switching with oxygen-stoichiometry dependence is demonstrated (Kramer 2017), and the applicant’s doctoral expertise de-risks growth, processing and metrology. The project measures the missing covalency axis (XAS) and tests whether the Asanuma optimum is the covalency optimum.</w:t>
      </w:r>
    </w:p>
    <w:p>
      <w:pPr>
        <w:spacing w:after="120"/>
      </w:pPr>
      <w:r>
        <w:rPr>
          <w:sz w:val="18"/>
          <w:szCs w:val="18"/>
        </w:rPr>
        <w:t xml:space="preserve">Materials selection follows the portfolio’s three-criterion evidence logic (covalency vs. stoichiometry by XAS; EV vs. covalency; demonstrated switching at a noble-metal interface); all references of the underlying documents are individually verified against publisher records (see Literaturpruefung_2026-08-09 and Materialscreening_2026-08-09).</w:t>
      </w:r>
    </w:p>
    <w:p>
      <w:pPr>
        <w:pStyle w:val="Heading1"/>
        <w:spacing w:after="120" w:before="240"/>
      </w:pPr>
      <w:r>
        <w:t xml:space="preserve">4  Programme-adapted work plan</w:t>
      </w:r>
    </w:p>
    <w:p>
      <w:pPr>
        <w:spacing w:after="120"/>
      </w:pPr>
      <w:r>
        <w:t xml:space="preserve">Identical to the 24-month Lynen work programme of this folder (WP1 synthesis + descriptor measurement, months 1–10; WP2 devices + switching statistics, months 8–18; WP3 correlation + operando validation + publication, months 16–24), followed by the DFG return module in Jülich/Aachen for group start-up. Only the funding-format sections differ; the scientific plan carries over unchanged.</w:t>
      </w:r>
    </w:p>
    <w:p>
      <w:pPr>
        <w:pStyle w:val="Heading1"/>
        <w:spacing w:after="120" w:before="240"/>
      </w:pPr>
      <w:r>
        <w:t xml:space="preserve">5  Notes before submission</w:t>
      </w:r>
    </w:p>
    <w:p>
      <w:pPr>
        <w:spacing w:after="120"/>
      </w:pPr>
      <w:r>
        <w:rPr>
          <w:sz w:val="18"/>
          <w:szCs w:val="18"/>
        </w:rPr>
        <w:t xml:space="preserve">• Verify all bracketed programme details (rates, deadlines, current call conditions) against the funder’s current documentation. • Coordinate the proposal with Prof. Chueh and fix the German host institution (RWTH Aachen vs. FZ Jülich) – both required by all three programmes. • Only one of the postdoc programmes (Feodor Lynen, DAAD PRIME, Walter Benjamin, MSCA PF) will be pursued for this stay; the parallel drafts exist to compare formats, not for parallel submission – check each funder’s double-funding rules. • Manuscript placeholders [E4]/[P1] of the underlying documents apply here analogously.</w:t>
      </w:r>
    </w:p>
    <w:sectPr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2026-08-10T07:19:04.041Z</dcterms:created>
  <dcterms:modified xsi:type="dcterms:W3CDTF">2026-08-10T07:19:04.041Z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