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Marie Skłodowska-Curie Actions – Postdoctoral Fellowship (Global Fellowship)</w:t>
      </w:r>
    </w:p>
    <w:p>
      <w:pPr>
        <w:pStyle w:val="Title"/>
      </w:pPr>
      <w:r>
        <w:t xml:space="preserve">Programme Adaptation: Covalency as a Switching Descriptor – the Pr1-xCaxMnO3 Series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(FeodorLynen_PCMO_EN,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 Postdoctoral Fellowship: 24-month outgoing phase at Stanford University / SLAC (third country) + mandatory 12-month return phase at the European host [FZ Jülich or RWTH Aachen as applicant/beneficiary organisation]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Horizon Europe unit costs: living, mobility and (if applicable) family allowances, country-corrected [insert current rates]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PhD ≤ 8 years at call deadline; MSCA mobility rule for the outgoing host country (max. 12 months in the USA within the 36 months before the deadline) [verify against personal record]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Annual single-stage call [insert current deadline, typically September], submitted by the European host institution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Explicit training, supervision and two-way knowledge-transfer requirements; funded return phase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The MSCA Global Fellowship extends the Lynen-type pilot with a funded 12-month return phase: the outgoing 24 months at Stanford run the identical work programme, and the return phase at the European host institutionalises exactly what the group programme needs – transfer of the SSRL-proven XAS protocols to European beamlines, integration of the descriptor dataset into the map, and preparation of the ERC/Emmy Noether bid. MSCA-specific proposal sections (training objectives, supervision arrangement between Prof. Chueh and the German host, dissemination and exploitation plan, two-way transfer of knowledge) must be added per the current template; the scientific core carries over unchanged.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memristive switching in Pr1-xCaxMnO3 (PCMO) – the best-documented perovskite memristor family: the Asanuma composition benchmark (Phys. Rev. B 80, 235113) has waited fifteen years for a descriptor explanation, Pt/PCMO/Pt switching with oxygen-stoichiometry dependence is demonstrated (Kramer 2017), and the applicant’s doctoral expertise de-risks growth, processing and metrology. The project measures the missing covalency axis (XAS) and tests whether the Asanuma optimum is the covalency optimum.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Outgoing phase (months 1–24, Stanford): identical to the Lynen work programme WP1–WP3 of this folder. Return phase (months 25–36, Jülich/Aachen): European beamline campaigns (BESSY II/PETRA III), cross-class integration of the descriptor data into the map, publication of the extended dataset, submission of the group proposal; supervision and training plan per MSCA rules spanning both phases.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2026-08-10T07:19:04.113Z</dcterms:created>
  <dcterms:modified xsi:type="dcterms:W3CDTF">2026-08-10T07:19:04.113Z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