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Programme Adaptation: Covalency as a Switching Descriptor – the La1-xSrxFeO3-δ Series</w:t>
      </w:r>
    </w:p>
    <w:p>
      <w:pPr>
        <w:spacing w:after="120"/>
      </w:pPr>
      <w:r>
        <w:rPr>
          <w:i/>
          <w:iCs/>
          <w:sz w:val="18"/>
          <w:szCs w:val="18"/>
        </w:rPr>
        <w:t xml:space="preserve">Applicant: Dr. Max Buczek (PGI-7, Forschungszentrum Jülich) · Host abroad: Prof. W. C. Chueh, Stanford University / SLAC (SSRL) · Status: programme-specific adaptation of this folder’s pilot project; the scientific core is defined in the Feodor Lynen exposé of this folder (FeodorLynen_LSFO_EN, Sections 1–4) and carries over unchanged. Added 09.08.2026 alongside the Lynen/Emmy Noether/ERC set.</w:t>
      </w:r>
    </w:p>
    <w:p>
      <w:pPr>
        <w:pStyle w:val="Heading1"/>
        <w:spacing w:after="120" w:before="240"/>
      </w:pPr>
      <w:r>
        <w:t xml:space="preserve">1  Programme fact sheet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return phase</w:t>
            </w:r>
          </w:p>
        </w:tc>
      </w:tr>
    </w:tbl>
    <w:p>
      <w:pPr>
        <w:pStyle w:val="Heading1"/>
        <w:spacing w:after="120" w:before="240"/>
      </w:pPr>
      <w:r>
        <w:t xml:space="preserve">2  Programme fit and strategy</w:t>
      </w:r>
    </w:p>
    <w:p>
      <w:pPr>
        <w:spacing w:after="120"/>
      </w:pPr>
      <w:r>
        <w:t xml:space="preserve">The MSCA Global Fellowship extends the Lynen-type pilot with a funded 12-month return phase: the outgoing 24 months at Stanford run the identical work programme, and the return phase at the European host institutionalises exactly what the group programme needs –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added per the current template; the scientific core carries over unchanged.</w:t>
      </w:r>
    </w:p>
    <w:p>
      <w:pPr>
        <w:pStyle w:val="Heading1"/>
        <w:spacing w:after="120" w:before="240"/>
      </w:pPr>
      <w:r>
        <w:t xml:space="preserve">3  Project core (summary)</w:t>
      </w:r>
    </w:p>
    <w:p>
      <w:pPr>
        <w:spacing w:after="120"/>
      </w:pPr>
      <w:r>
        <w:t xml:space="preserve">Covalency as an experimental descriptor of memristive switching in La1-xSrxFeO3-δ (LSFO) – the series with the largest documented EV span (≈4 eV → &lt;1 eV for x = 0–0.5, Ritzmann 2013) and the canonical covalency XAS (Abbate 1992); the end members switch under inert electrode stacks, so the unexplored intermediate series is the field’s largest optimisation space. The project maps the covalency correlation and optimises the switching window via the Sr content.</w:t>
      </w:r>
    </w:p>
    <w:p>
      <w:pPr>
        <w:spacing w:after="120"/>
      </w:pPr>
      <w:r>
        <w:rPr>
          <w:sz w:val="18"/>
          <w:szCs w:val="18"/>
        </w:rPr>
        <w:t xml:space="preserve">Materials selection follows the portfolio’s three-criterion evidence logic (covalency vs. stoichiometry by XAS; EV vs. covalency; demonstrated switching at a noble-metal interface); all references of the underlying documents are individually verified against publisher records (see Literaturpruefung_2026-08-09 and Materialscreening_2026-08-09).</w:t>
      </w:r>
    </w:p>
    <w:p>
      <w:pPr>
        <w:pStyle w:val="Heading1"/>
        <w:spacing w:after="120" w:before="240"/>
      </w:pPr>
      <w:r>
        <w:t xml:space="preserve">4  Programme-adapted work plan</w:t>
      </w:r>
    </w:p>
    <w:p>
      <w:pPr>
        <w:spacing w:after="120"/>
      </w:pPr>
      <w:r>
        <w:t xml:space="preserve">Outgoing phase (months 1–24, Stanford): identical to the Lynen work programme WP1–WP3 of this folder. Return phase (months 25–36, Jülich/Aachen): European beamline campaigns (BESSY II/PETRA III), cross-class integration of the descriptor data into the map, publication of the extended dataset, submission of the group proposal; supervision and training plan per MSCA rules spanning both phases.</w:t>
      </w:r>
    </w:p>
    <w:p>
      <w:pPr>
        <w:pStyle w:val="Heading1"/>
        <w:spacing w:after="120" w:before="240"/>
      </w:pPr>
      <w:r>
        <w:t xml:space="preserve">5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 host institution (RWTH Aachen vs. FZ Jülich) – both required by all three programmes. • Only one of the postdoc programmes (Feodor Lynen, DAAD PRIME, Walter Benjamin, MSCA PF) will be pursued for this stay; the parallel drafts exist to compare formats, not for parallel submission – check each funder’s double-funding rules. • Manuscript placeholders [E4]/[P1] of the underlying documents apply here analogously.</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2026-08-10T07:19:04.137Z</dcterms:created>
  <dcterms:modified xsi:type="dcterms:W3CDTF">2026-08-10T07:19:04.137Z</dcterms:modified>
</cp:coreProperties>
</file>

<file path=docProps/custom.xml><?xml version="1.0" encoding="utf-8"?>
<Properties xmlns="http://schemas.openxmlformats.org/officeDocument/2006/custom-properties" xmlns:vt="http://schemas.openxmlformats.org/officeDocument/2006/docPropsVTypes"/>
</file>