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DAAD PRIME – Postdoctoral Researchers International Mobility Experience</w:t>
      </w:r>
    </w:p>
    <w:p>
      <w:pPr>
        <w:pStyle w:val="Title"/>
      </w:pPr>
      <w:r>
        <w:t xml:space="preserve">Programme Adaptation: Covalency as a Switching Descriptor – the La1-xSrxCoO3-δ Series with its SrCoOx Anchor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(FeodorLynen_LSCO_EN,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18-month employment contract (TV-L E13) at a German university: 12 months abroad (Stanford University / SLAC) + 6-month reintegration phase in Germany [RWTH Aachen or FZ Jülich – commitment of the German host required]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 body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DAAD [verify current call, co-funding and conditions before submission]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Doctorate completed before funding start; no nationality restriction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Annual call, submitted directly to the DAAD [insert current deadline]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 instead of stipend – full social security; reintegration phase is part of the programme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PRIME is the employment-based alternative to the Feodor Lynen fellowship: the 24-month Stanford pilot is compressed into a focused 12-month campaign, and the built-in 6-month reintegration phase in Jülich/Aachen is used for correlation analysis, transfer of the XAS protocols to European beamlines and submission of the junior-group proposal (Emmy Noether/ERC) – the return step that Lynen funds separately is here part of the programme itself. Fallback within the DAAD portfolio: the classic postdoctoral research grants (stipend-based, up to 12 months) [verify current programme lines].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in La1-xSrxCoO3-δ (LSCO) – the family with the most explicitly documented covalency→EV link (experimental defect chemistry, Mizusaki 1989; DFT, Mefford 2016) and a switching-proven Au-active anchor at its SrCoOx end member (Acharya 2016; Nallagatla 2019). The project extends the proven end-member platform across the composition series.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Months 1–8 (Stanford): synthesis of the composition series and first SSRL XAS campaign (descriptor scale). Months 6–12 (Stanford): device processing and switching statistics on the noble-contact platform; second XAS campaign on switched cells. Months 13–18 (Germany, reintegration): correlation analysis, European beamline transfer (BESSY II/PETRA III), publication and FAIR dataset release, submission of the group proposal. Milestones: M1 descriptor set (month 8), M2 switching statistics (month 12), M3 publication + group proposal (month 18). Compared to the Lynen plan, the composition grid is thinned to the decision-critical points; the reintegration phase absorbs WP3.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2026-08-10T07:19:03.982Z</dcterms:created>
  <dcterms:modified xsi:type="dcterms:W3CDTF">2026-08-10T07:19:03.982Z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