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Marie Skłodowska-Curie Actions – Postdoctoral Fellowship (Global Fellowship)</w:t>
      </w:r>
    </w:p>
    <w:p>
      <w:pPr>
        <w:pStyle w:val="Title"/>
      </w:pPr>
      <w:r>
        <w:t xml:space="preserve">Programme Adaptation: Covalency as a Switching Descriptor – the YBa2Cu3O7-δ Chain-Oxygen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(FeodorLynen_YBCO_EN,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 Postdoctoral Fellowship: 24-month outgoing phase at Stanford University / SLAC (third country) + mandatory 12-month return phase at the European host [FZ Jülich or RWTH Aachen as applicant/beneficiary organisation]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Horizon Europe unit costs: living, mobility and (if applicable) family allowances, country-corrected [insert current rates]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PhD ≤ 8 years at call deadline; MSCA mobility rule for the outgoing host country (max. 12 months in the USA within the 36 months before the deadline) [verify against personal record]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single-stage call [insert current deadline, typically September], submitted by the European host institution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Explicit training, supervision and two-way knowledge-transfer requirements; funded return phase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MSCA Global Fellowship extends the Lynen-type pilot with a funded 12-month return phase: the outgoing 24 months at Stanford run the identical work programme, and the return phase at the European host institutionalises exactly what the group programme needs – transfer of the SSRL-proven XAS protocols to European beamlines, integration of the descriptor dataset into the map, and preparation of the ERC/Emmy Noether bid. MSCA-specific proposal sections (training objectives, supervision arrangement between Prof. Chueh and the German host, dissemination and exploitation plan, two-way transfer of knowledge) must be added per the current template; the scientific core carries over unchanged.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beyond the perovskites: in YBa2Cu3O7-δ, site-resolved O-1s/Cu-2p XAS (plane/chain/apex; Nücker 1995, Merz 1998) and the continuously tunable chain-oxygen axis meet the established and replicated Au/YBCO/Au switching platform (Acha/Rozenberg 2009). Epitaxial, δ-controlled device series with simultaneous XAS quantification are the project contribution – the map’s extension to the cuprate bonding class.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Outgoing phase (months 1–24, Stanford): identical to the Lynen work programme WP1–WP3 of this folder. Return phase (months 25–36, Jülich/Aachen): European beamline campaigns (BESSY II/PETRA III), cross-class integration of the descriptor data into the map, publication of the extended dataset, submission of the group proposal; supervision and training plan per MSCA rules spanning both phases.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2026-08-10T07:19:04.159Z</dcterms:created>
  <dcterms:modified xsi:type="dcterms:W3CDTF">2026-08-10T07:19:04.159Z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