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Literaturprüfung und erneute systematische Literatursuche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Stand: 09.08.2026 · Claude-Code-generiert · Bezieht sich auf alle 16 Antragsdokumente des Portfolios (Material_1 … Material_5 + Materialsysteme_Vergleich)</w:t>
      </w:r>
    </w:p>
    <w:p>
      <w:pPr>
        <w:pStyle w:val="Heading1"/>
        <w:spacing w:after="120" w:before="240"/>
      </w:pPr>
      <w:r>
        <w:t xml:space="preserve">1  Methode</w:t>
      </w:r>
    </w:p>
    <w:p>
      <w:pPr>
        <w:spacing w:after="100"/>
      </w:pPr>
      <w:r>
        <w:t xml:space="preserve">Alle Referenzlisten der 16 Dokumente wurden extrahiert und auf 101 einzigartige Publikationen dedupliziert. Jede Referenz wurde feldweise (Erstautor/Autorenliste, Titel, Journal, Band, Seiten/Artikelnummer, Jahr) gegen die Verlagsangaben geprüft und die DOI ermittelt; parallel wurde die systematische Literatursuche für jedes der fünf Materialsysteme wiederholt (Kernaussagen-Prüfung, Neuerscheinungen 2023–2026, Prüfung der „Lücken“-Behauptungen). Hinweis zur Umgebung: Die Crossref-API und doi.org sind aus dieser Ausführungsumgebung netzwerkseitig gesperrt; die Verifikation erfolgte über Websuche mit Mehrfach-Korroboration (Verlagsseiten, PubMed, OSTI, arXiv, ADS). Einzelne Detailangaben, die nur per Volltext prüfbar sind, sind unten als Restpunkte markiert.</w:t>
      </w:r>
    </w:p>
    <w:p>
      <w:pPr>
        <w:pStyle w:val="Heading1"/>
        <w:spacing w:after="120" w:before="240"/>
      </w:pPr>
      <w:r>
        <w:t xml:space="preserve">2  Ergebnis der Referenzprüfung</w:t>
      </w:r>
    </w:p>
    <w:p>
      <w:pPr>
        <w:spacing w:after="100"/>
      </w:pPr>
      <w:r>
        <w:t xml:space="preserve">88 von 101 Referenzen waren vollständig korrekt. 13 Einträge wurden korrigiert bzw. vervollständigt – darunter Fehler, die die frühere reine DOI-Prüfung nicht erfasst hatte (falsche Erstautoren bei korrekter Fundstelle, ein nicht existierender Autor, ein paraphrasierter Titel, ein aus zwei Publikationen vermischtes Zitat). Alle Korrekturen sind in sämtlichen betroffenen Dokumenten eingepflegt: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72"/>
      </w:tblGrid>
      <w:tr>
        <w:tc>
          <w:tcPr>
            <w:tcW w:type="dxa" w:w="22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Befund</w:t>
            </w:r>
          </w:p>
        </w:tc>
        <w:tc>
          <w:tcPr>
            <w:tcW w:type="dxa" w:w="36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Korrektur</w:t>
            </w:r>
          </w:p>
        </w:tc>
        <w:tc>
          <w:tcPr>
            <w:tcW w:type="dxa" w:w="3272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Betroffene Dokumente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Falscher Erstautor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„A. Gogoi“ → „D. Gogoi“ (Gogoi et al., Phys. Status Solidi A 221, 2300500 (2024), DOI 10.1002/pssa.202300500)</w:t>
            </w:r>
          </w:p>
        </w:tc>
        <w:tc>
          <w:tcPr>
            <w:tcW w:type="dxa" w:w="32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5× DFG Emmy Noether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Falscher Erstautor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„N. Nizet“ → „P. Nizet“ (Nizet et al., Appl. Phys. Rev. 11, 041426 (2024), DOI 10.1063/5.0234003)</w:t>
            </w:r>
          </w:p>
        </w:tc>
        <w:tc>
          <w:tcPr>
            <w:tcW w:type="dxa" w:w="32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11× (alle EN-, ERC- u. Lynen-LSFO-Fassungen)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Falscher Erstautor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„H. Tian“ → „J. Tian“ (Tian et al., Adv. Mater. 31, 1903679 (2019), DOI 10.1002/adma.201903679; Verwechslung mit He Tian, Nano Lett. 13, 651 (2013))</w:t>
            </w:r>
          </w:p>
        </w:tc>
        <w:tc>
          <w:tcPr>
            <w:tcW w:type="dxa" w:w="32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11× (EN, ERC, Lynen-LSFO)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Falscher Erstautor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„D. Muenstermann“ → „R. Muenstermann“ (Adv. Mater. 22, 4819 (2010), DOI 10.1002/adma.201001872)</w:t>
            </w:r>
          </w:p>
        </w:tc>
        <w:tc>
          <w:tcPr>
            <w:tcW w:type="dxa" w:w="32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5× DFG Emmy Noether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Falsche Autorenreihenfolge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„E. A. Kotomin et al.“ → „Yu. A. Mastrikov, R. Merkle, E. A. Kotomin, M. M. Kuklja, J. Maier“ (Phys. Chem. Chem. Phys. 15, 911 (2013), DOI 10.1039/C2CP43557H; Kotomin ist Drittautor)</w:t>
            </w:r>
          </w:p>
        </w:tc>
        <w:tc>
          <w:tcPr>
            <w:tcW w:type="dxa" w:w="32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5× DFG Emmy Noether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Nicht existierender Autor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„X. Zhang et al.“ → „X. Mou et al.“ (Science Advances 7, eabh0648 (2021), DOI 10.1126/sciadv.abh0648; kein X. Zhang in der Autorenliste)</w:t>
            </w:r>
          </w:p>
        </w:tc>
        <w:tc>
          <w:tcPr>
            <w:tcW w:type="dxa" w:w="32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5× DFG Emmy Noether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Falscher Titel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Nallagatla et al., Adv. Mater. 31, 1903391 (2019): tatsächlicher Titel „Topotactic Phase Transition Driving Memristive Behavior“ (zitierter Titel war paraphrasiert/erfunden)</w:t>
            </w:r>
          </w:p>
        </w:tc>
        <w:tc>
          <w:tcPr>
            <w:tcW w:type="dxa" w:w="32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6× (EN, Lynen-LSFO)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Vermischtes Zitat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Koster/Rijnders-PLD-Intervalldeposition: Autoren/Titel gehörten zu Appl. Phys. Lett. 74, 3729–3731 (1999), DOI 10.1063/1.123235 – Journalangabe (Appl. Surf. Sci. 168, 2000) entsprechend ersetzt</w:t>
            </w:r>
          </w:p>
        </w:tc>
        <w:tc>
          <w:tcPr>
            <w:tcW w:type="dxa" w:w="32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5× DFG Emmy Noether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Unvollständiger Titel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Liu et al., ACS Appl. Nano Mater. 7, 6139 (2024), DOI 10.1021/acsanm.3c06023: Titel endet auf „…Resistive Switching Behavior“ – „Behavior“ ergänzt</w:t>
            </w:r>
          </w:p>
        </w:tc>
        <w:tc>
          <w:tcPr>
            <w:tcW w:type="dxa" w:w="32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6× (EN, Lynen-LSMO)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Titel-Detail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Lee et al., Phys. Rev. B 80, 224101 (2009): „(B = Mn, Fe, Co, and Ni)“ – fehlendes „and“ ergänzt</w:t>
            </w:r>
          </w:p>
        </w:tc>
        <w:tc>
          <w:tcPr>
            <w:tcW w:type="dxa" w:w="32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5× DFG Emmy Noether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Platzhalter aufgelöst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Lole et al., J. Phys. Chem. C 127, 177–186 (2023), DOI 10.1021/acs.jpcc.2c05622 – vollständige Autorenliste eingetragen: G. Lole, F. Ebrahimi, T. Meyer, D. Mierwaldt, V. Roddatis, J. Geppert, M. Risch, C. Jooss</w:t>
            </w:r>
          </w:p>
        </w:tc>
        <w:tc>
          <w:tcPr>
            <w:tcW w:type="dxa" w:w="32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Lynen-PCMO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Platzhalter aufgelöst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RSC Advances DOI 10.1039/C5RA21982E – vervollständigt: N. Lee, Y. Lansac, H. Hwang, Y. H. Jang, „Switching mechanism of Al/La1-xSrxMnO3 resistance random access memory. I. Oxygen vacancy formation in perovskites“, RSC Adv. 5, 102772–102779 (2015). Hinweis: DFT-Theoriearbeit, keine Experimentalstudie</w:t>
            </w:r>
          </w:p>
        </w:tc>
        <w:tc>
          <w:tcPr>
            <w:tcW w:type="dxa" w:w="32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Lynen-LSMO</w:t>
            </w:r>
          </w:p>
        </w:tc>
      </w:tr>
    </w:tbl>
    <w:p>
      <w:pPr>
        <w:pStyle w:val="Heading1"/>
        <w:spacing w:after="120" w:before="240"/>
      </w:pPr>
      <w:r>
        <w:t xml:space="preserve">3  Inhaltliche Präzisierungen (aus der Literatursuche)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72"/>
      </w:tblGrid>
      <w:tr>
        <w:tc>
          <w:tcPr>
            <w:tcW w:type="dxa" w:w="22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Punkt</w:t>
            </w:r>
          </w:p>
        </w:tc>
        <w:tc>
          <w:tcPr>
            <w:tcW w:type="dxa" w:w="36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Anpassung</w:t>
            </w:r>
          </w:p>
        </w:tc>
        <w:tc>
          <w:tcPr>
            <w:tcW w:type="dxa" w:w="3272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Dokumente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LSFO: EV-Spanne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„≈4 eV → &lt;1 eV“ ist durch Ritzmann 2013 nur für x = 0–0,5 gedeckt (x = 1 dort nicht gerechnet). Präzisiert zu „across x = 0–0.5“ bzw. „für x ≤ 0,5“; für das Endglied SrFeO3 ggf. Zusatzquelle aufnehmen (z. B. Santana et al., J. Chem. Phys. 147, 034701 (2017): DMC 1,3(1) eV)</w:t>
            </w:r>
          </w:p>
        </w:tc>
        <w:tc>
          <w:tcPr>
            <w:tcW w:type="dxa" w:w="32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ERC (5×), Vergleich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PCMO: Lole-Einordnung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„Kovalenz vs. x quantifiziert“ → präzisiert: Lole et al. vergleichen zwei Kompositionen (x = 0,1 und 0,33), keine durchgehende x-Serie</w:t>
            </w:r>
          </w:p>
        </w:tc>
        <w:tc>
          <w:tcPr>
            <w:tcW w:type="dxa" w:w="32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Vergleich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LNO: TiN-Behauptung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„Intrinsisches Schalten ohne TiN nie gezeigt“ war zu stark: TiN-freie Memristanz existiert in All-Oxid-La2NiO4+δ/LaNiO3−δ-Bilayern (J. Mater. Chem. A 10 (2022), DOI 10.1039/D1TA10296F) und Einkristall-Tunnelkontakten (2019). Präzisiert auf „planare Dünnfilm-Devices“; Neuheitsanspruch bleibt tragfähig, Formulierung jetzt verteidigbar</w:t>
            </w:r>
          </w:p>
        </w:tc>
        <w:tc>
          <w:tcPr>
            <w:tcW w:type="dxa" w:w="32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Lynen-LNO, Vergleich</w:t>
            </w:r>
          </w:p>
        </w:tc>
      </w:tr>
    </w:tbl>
    <w:p>
      <w:pPr>
        <w:pStyle w:val="Heading1"/>
        <w:spacing w:after="120" w:before="240"/>
      </w:pPr>
      <w:r>
        <w:t xml:space="preserve">4  Systematische Literatursuche je Materialsystem</w:t>
      </w:r>
    </w:p>
    <w:p>
      <w:pPr>
        <w:spacing w:after="100"/>
      </w:pPr>
      <w:r>
        <w:t xml:space="preserve">Die zentralen „Lücken“-Behauptungen aller fünf Systeme halten der erneuten Prüfung stand (Stand August 2026). Empfohlene Neuaufnahmen sind unten gelistet; sie sind bewusst noch nicht in die Referenzlisten der Anträge eingefügt, da dies eine Neunummerierung aller Verweise erfordert – Empfehlung: bei der finalen Überarbeitung vor Einreichung einarbeiten.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72"/>
      </w:tblGrid>
      <w:tr>
        <w:tc>
          <w:tcPr>
            <w:tcW w:type="dxa" w:w="22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System</w:t>
            </w:r>
          </w:p>
        </w:tc>
        <w:tc>
          <w:tcPr>
            <w:tcW w:type="dxa" w:w="360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Befund</w:t>
            </w:r>
          </w:p>
        </w:tc>
        <w:tc>
          <w:tcPr>
            <w:tcW w:type="dxa" w:w="3272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Empfohlene Neuaufnahmen (2023–2026)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– STF (SrTi1-xFexO3-δ)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Alle vier Kernaussagen bestätigt (Rothschild-Defektchemie-Formeln; intrinsisches eightwise-Schalten mit Pt; Graphen-operando-Plattform; O-Austausch mit Luftfeuchte). Lücke bestätigt: bis Aug 2026 keine epitaktische Fe-Serie mit inerten Elektroden publiziert.</w:t>
            </w:r>
          </w:p>
        </w:tc>
        <w:tc>
          <w:tcPr>
            <w:tcW w:type="dxa" w:w="32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Sarantopoulos et al., Adv. Electron. Mater. 11, 2400555 (2025), DOI 10.1002/aelm.202400555 (Kinetik/Thermal Confinement) · Mladenović et al., ACS Appl. Electron. Mater. 7, 2839 (2025), DOI 10.1021/acsaelm.4c02350 (terminierungsabhängiges Pt/STO-Schalten) · Materials 17, 5021 (2024), DOI 10.3390/ma17205021 (Sol-Gel-STF-Memristor, Al-Elektrode – zur Abgrenzung der Lücke zitierbar)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– PCMO (Pr1-xCaxMnO3)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Alle Kernaussagen bestätigt (Lole-Kovalenz; Asanuma-x-Serie; Herpers-Reaktivelektroden-Confounder; Abbate-XAS). Asanuma-Optimum „x ≈ 0,4“ vor Einreichung am Volltext gegenprüfen. Lücke bestätigt: keine Manganit-x-Serie mit inerten Elektroden.</w:t>
            </w:r>
          </w:p>
        </w:tc>
        <w:tc>
          <w:tcPr>
            <w:tcW w:type="dxa" w:w="32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Schulman, Huhtinen, Paturi, J. Phys. D: Appl. Phys. 57, 422001 (2024), DOI 10.1088/1361-6463/ad6575 (Manganit-Memristor-Review) · Antola et al., ACS Appl. Electron. Mater. 7, 4242 (2025), DOI 10.1021/acsaelm.5c00403 (GCMO, Al vs. Au)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– LSFO (La1-xSrxFeO3-δ)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Topotaktisches SrFeOx-Schalten (ON/OFF ~10⁴) bestätigt; Nizet 2024 exakt verifiziert (Achtung: 3-Terminal-elektrochemische Zelle, kein 2-Terminal-Memristor – stützt die Lücke). EV-Spanne auf x ≤ 0,5 präzisiert (s. o.). Lücke bestätigt: keine Memristor-Studie bei 0 &lt; x &lt; 1.</w:t>
            </w:r>
          </w:p>
        </w:tc>
        <w:tc>
          <w:tcPr>
            <w:tcW w:type="dxa" w:w="32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LaFeO3-RRAM-DFT: Ionics (2025), DOI 10.1007/s11581-025-06936-4 · SrFeOx volatil/ferroelektrisch: ACS Appl. Mater. Interfaces 17, 9595 (2025) · Review Topotaktik: Sensors 23, 8838 (2023), DOI 10.3390/s23218838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– LSMO (La1-xSrxMnO3-δ)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Alle Kernaussagen bestätigt (Abbate-XAS; Moreno/Liu/Yao als aktive Schicht – Hinweis: Liu 2024 nutzt aktive Ag-Elektrode; Choi 2013 bleibt einzige x-Serie: 3 Punkte, gesputtert, Al-Elektrode; RSC-Advances-Referenz ist DFT-Theorie). Lücke bestätigt: keine LSMO-Serie mit inerten Elektroden.</w:t>
            </w:r>
          </w:p>
        </w:tc>
        <w:tc>
          <w:tcPr>
            <w:tcW w:type="dxa" w:w="32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Schulman et al., J. Phys. D 57, 422001 (2024) (s. PCMO) · VO2/LSMO/Al2O3-Devices: ACS Appl. Mater. Interfaces (2024), DOI 10.1021/acsami.3c19032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– LNO (La2NiO4+δ)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Kuiper-XAS, Khuu 2022, Koroleva 2024, Khuu/Koroleva 2025 (Band 11/2025 korrekt) bestätigt. TiN-Aussage präzisiert (s. o.). Neuheitsanspruch (erster intrinsischer Interstitial-Memristor in planarer Dünnfilm-Geometrie) bleibt gültig.</w:t>
            </w:r>
          </w:p>
        </w:tc>
        <w:tc>
          <w:tcPr>
            <w:tcW w:type="dxa" w:w="32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Khuu et al., J. Phys. D 57, 10LT01 (2024), DOI 10.1088/1361-6463/ad1016 (SNN-Synapsen) · O-interkaliertes RP-Nickelat: Mater. Horiz. 13, 2479 (2026), DOI 10.1039/D5MH01394A (7 Größenordnungen Widerstandsmodulation) · Topochemische Oxidation RP-Nickelate: JACS (2025), DOI 10.1021/jacs.5c12712 · TiN-frei (fürs Framing wichtig): J. Mater. Chem. A 10 (2022), DOI 10.1039/D1TA10296F</w:t>
            </w:r>
          </w:p>
        </w:tc>
      </w:tr>
    </w:tbl>
    <w:p>
      <w:pPr>
        <w:pStyle w:val="Heading1"/>
        <w:spacing w:after="120" w:before="240"/>
      </w:pPr>
      <w:r>
        <w:t xml:space="preserve">5  Verbleibende Restpunkte vor Einreichung</w:t>
      </w:r>
    </w:p>
    <w:p>
      <w:pPr>
        <w:spacing w:after="100"/>
      </w:pPr>
      <w:r>
        <w:t xml:space="preserve">• Asanuma 2009: exakten Optimum-Wert (x ≈ 0,4) am Volltext/Abbildung verifizieren. • Choi 2013: Al-Topelektrode am PDF bestätigen (Abstract nennt nur Pt-Bottom). • Choi-2013-DOI (10.1016/j.tsf.2012.07.069) nur über Suchtreffer bestätigt. • Empfohlene Neuaufnahmen in die Referenzlisten einarbeiten (Neunummerierung). • Vor der finalen Einreichung ein Scopus/Web-of-Science-Sweep als Gegenprobe zur hier verwendeten Websuche. • Manuskript-Platzhalter [P1]/[E4] und institutionelle Platzhalter unverändert offen (siehe Vergleichsdokument).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2026-08-09T15:31:26.088Z</dcterms:created>
  <dcterms:modified xsi:type="dcterms:W3CDTF">2026-08-09T15:31:26.088Z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