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intrinsic memristive switching: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model series”, the applicant has grown an epitaxial STF composition series – deliberately a system that switches </w:t>
      </w:r>
      <w:r>
        <w:rPr>
          <w:rFonts w:ascii="Arial" w:hAnsi="Arial" w:cs="Arial"/>
          <w:i/>
          <w:iCs/>
          <w:sz w:val="21"/>
          <w:szCs w:val="21"/>
        </w:rPr>
        <w:t>intrinsically</w:t>
      </w:r>
      <w:r>
        <w:rPr>
          <w:rFonts w:ascii="Arial" w:hAnsi="Arial" w:cs="Arial"/>
          <w:sz w:val="21"/>
          <w:szCs w:val="21"/>
        </w:rPr>
        <w:t>, with the oxygen balance inside the oxide, sealed by gas-tight, photoelectron-transparent graphene electrodes – established the O-K/Fe-L covalency scale across it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[E4]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graphene-sealed intrinsic devices, correlation against switching data – has been established and de-risked on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during the applicant’s Feodor Lynen project [E4] and is transferred here to the mixed-valent A-site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