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8A8796" w14:textId="77777777" w:rsidR="008E5A22" w:rsidRDefault="008E5A22">
      <w:pPr>
        <w:pStyle w:val="NormalWeb"/>
        <w:jc w:val="right"/>
        <w:rPr>
          <w:rFonts w:ascii="Arial" w:hAnsi="Arial" w:cs="Arial"/>
          <w:color w:val="555555"/>
          <w:sz w:val="21"/>
          <w:szCs w:val="21"/>
        </w:rPr>
      </w:pPr>
      <w:r>
        <w:rPr>
          <w:rFonts w:ascii="Arial" w:hAnsi="Arial" w:cs="Arial"/>
          <w:color w:val="555555"/>
          <w:sz w:val="21"/>
          <w:szCs w:val="21"/>
        </w:rPr>
        <w:t>Alexander von Humboldt Foundation – Feodor Lynen Research Fellowship for Postdoctoral Researchers</w:t>
      </w:r>
    </w:p>
    <w:p w14:paraId="5B803239" w14:textId="77777777" w:rsidR="008E5A22" w:rsidRDefault="008E5A22">
      <w:pPr>
        <w:pStyle w:val="NormalWeb"/>
        <w:rPr>
          <w:rFonts w:ascii="Arial" w:hAnsi="Arial" w:cs="Arial"/>
          <w:sz w:val="21"/>
          <w:szCs w:val="21"/>
        </w:rPr>
      </w:pPr>
      <w:r>
        <w:rPr>
          <w:rFonts w:ascii="Arial" w:hAnsi="Arial" w:cs="Arial"/>
          <w:sz w:val="21"/>
          <w:szCs w:val="21"/>
        </w:rPr>
        <w:t> </w:t>
      </w:r>
    </w:p>
    <w:p w14:paraId="60139F67" w14:textId="77777777" w:rsidR="008E5A22" w:rsidRDefault="008E5A22">
      <w:pPr>
        <w:pStyle w:val="NormalWeb"/>
        <w:rPr>
          <w:rFonts w:ascii="Arial" w:hAnsi="Arial" w:cs="Arial"/>
          <w:sz w:val="21"/>
          <w:szCs w:val="21"/>
        </w:rPr>
      </w:pPr>
      <w:r>
        <w:rPr>
          <w:rFonts w:ascii="Arial" w:hAnsi="Arial" w:cs="Arial"/>
          <w:sz w:val="21"/>
          <w:szCs w:val="21"/>
        </w:rPr>
        <w:t> </w:t>
      </w:r>
    </w:p>
    <w:p w14:paraId="6BD7256E" w14:textId="77777777" w:rsidR="008E5A22" w:rsidRDefault="008E5A22">
      <w:pPr>
        <w:pStyle w:val="NormalWeb"/>
        <w:rPr>
          <w:rFonts w:ascii="Arial" w:hAnsi="Arial" w:cs="Arial"/>
          <w:sz w:val="21"/>
          <w:szCs w:val="21"/>
        </w:rPr>
      </w:pPr>
      <w:r>
        <w:rPr>
          <w:rFonts w:ascii="Arial" w:hAnsi="Arial" w:cs="Arial"/>
          <w:sz w:val="21"/>
          <w:szCs w:val="21"/>
        </w:rPr>
        <w:t> </w:t>
      </w:r>
    </w:p>
    <w:p w14:paraId="37C3E632" w14:textId="77777777" w:rsidR="008E5A22" w:rsidRDefault="008E5A22">
      <w:pPr>
        <w:pStyle w:val="center"/>
        <w:spacing w:before="0" w:beforeAutospacing="0" w:after="140"/>
        <w:rPr>
          <w:rFonts w:ascii="Arial" w:hAnsi="Arial" w:cs="Arial"/>
          <w:sz w:val="30"/>
          <w:szCs w:val="30"/>
        </w:rPr>
      </w:pPr>
      <w:r>
        <w:rPr>
          <w:rFonts w:ascii="Arial" w:hAnsi="Arial" w:cs="Arial"/>
          <w:b/>
          <w:bCs/>
          <w:sz w:val="30"/>
          <w:szCs w:val="30"/>
        </w:rPr>
        <w:t>Application for a Feodor Lynen Research Fellowship</w:t>
      </w:r>
    </w:p>
    <w:p w14:paraId="7162E21B" w14:textId="77777777" w:rsidR="008E5A22" w:rsidRDefault="008E5A22">
      <w:pPr>
        <w:pStyle w:val="NormalWeb"/>
        <w:rPr>
          <w:rFonts w:ascii="Arial" w:hAnsi="Arial" w:cs="Arial"/>
          <w:sz w:val="21"/>
          <w:szCs w:val="21"/>
        </w:rPr>
      </w:pPr>
      <w:r>
        <w:rPr>
          <w:rFonts w:ascii="Arial" w:hAnsi="Arial" w:cs="Arial"/>
          <w:sz w:val="21"/>
          <w:szCs w:val="21"/>
        </w:rPr>
        <w:t> </w:t>
      </w:r>
    </w:p>
    <w:p w14:paraId="79890CC2" w14:textId="77777777" w:rsidR="008E5A22" w:rsidRDefault="008E5A22">
      <w:pPr>
        <w:pStyle w:val="center"/>
        <w:spacing w:before="0" w:beforeAutospacing="0" w:after="140"/>
        <w:rPr>
          <w:rFonts w:ascii="Arial" w:hAnsi="Arial" w:cs="Arial"/>
          <w:sz w:val="26"/>
          <w:szCs w:val="26"/>
        </w:rPr>
      </w:pPr>
      <w:r>
        <w:rPr>
          <w:rFonts w:ascii="Arial" w:hAnsi="Arial" w:cs="Arial"/>
          <w:b/>
          <w:bCs/>
          <w:sz w:val="26"/>
          <w:szCs w:val="26"/>
        </w:rPr>
        <w:t>Covalency as an Experimental Descriptor of Memristive Switching: the Pr</w:t>
      </w:r>
      <w:r>
        <w:rPr>
          <w:rFonts w:ascii="Arial" w:hAnsi="Arial" w:cs="Arial"/>
          <w:b/>
          <w:bCs/>
          <w:sz w:val="26"/>
          <w:szCs w:val="26"/>
          <w:vertAlign w:val="subscript"/>
        </w:rPr>
        <w:t>1-x</w:t>
      </w:r>
      <w:r>
        <w:rPr>
          <w:rFonts w:ascii="Arial" w:hAnsi="Arial" w:cs="Arial"/>
          <w:b/>
          <w:bCs/>
          <w:sz w:val="26"/>
          <w:szCs w:val="26"/>
        </w:rPr>
        <w:t>Ca</w:t>
      </w:r>
      <w:r>
        <w:rPr>
          <w:rFonts w:ascii="Arial" w:hAnsi="Arial" w:cs="Arial"/>
          <w:b/>
          <w:bCs/>
          <w:sz w:val="26"/>
          <w:szCs w:val="26"/>
          <w:vertAlign w:val="subscript"/>
        </w:rPr>
        <w:t>x</w:t>
      </w:r>
      <w:r>
        <w:rPr>
          <w:rFonts w:ascii="Arial" w:hAnsi="Arial" w:cs="Arial"/>
          <w:b/>
          <w:bCs/>
          <w:sz w:val="26"/>
          <w:szCs w:val="26"/>
        </w:rPr>
        <w:t>MnO</w:t>
      </w:r>
      <w:r>
        <w:rPr>
          <w:rFonts w:ascii="Arial" w:hAnsi="Arial" w:cs="Arial"/>
          <w:b/>
          <w:bCs/>
          <w:sz w:val="26"/>
          <w:szCs w:val="26"/>
          <w:vertAlign w:val="subscript"/>
        </w:rPr>
        <w:t>3</w:t>
      </w:r>
      <w:r>
        <w:rPr>
          <w:rFonts w:ascii="Arial" w:hAnsi="Arial" w:cs="Arial"/>
          <w:b/>
          <w:bCs/>
          <w:sz w:val="26"/>
          <w:szCs w:val="26"/>
        </w:rPr>
        <w:t xml:space="preserve"> Model Series</w:t>
      </w:r>
    </w:p>
    <w:p w14:paraId="19BB5E7F" w14:textId="77777777" w:rsidR="008E5A22" w:rsidRDefault="008E5A22">
      <w:pPr>
        <w:pStyle w:val="NormalWeb"/>
        <w:rPr>
          <w:rFonts w:ascii="Arial" w:hAnsi="Arial" w:cs="Arial"/>
          <w:sz w:val="21"/>
          <w:szCs w:val="21"/>
        </w:rPr>
      </w:pPr>
      <w:r>
        <w:rPr>
          <w:rFonts w:ascii="Arial" w:hAnsi="Arial" w:cs="Arial"/>
          <w:sz w:val="21"/>
          <w:szCs w:val="21"/>
        </w:rPr>
        <w:t> </w:t>
      </w:r>
    </w:p>
    <w:p w14:paraId="4424F6E4" w14:textId="77777777" w:rsidR="008E5A22" w:rsidRDefault="008E5A22">
      <w:pPr>
        <w:pStyle w:val="NormalWeb"/>
        <w:rPr>
          <w:rFonts w:ascii="Arial" w:hAnsi="Arial" w:cs="Arial"/>
          <w:sz w:val="21"/>
          <w:szCs w:val="21"/>
        </w:rPr>
      </w:pPr>
      <w:r>
        <w:rPr>
          <w:rFonts w:ascii="Arial" w:hAnsi="Arial" w:cs="Arial"/>
          <w:sz w:val="21"/>
          <w:szCs w:val="21"/>
        </w:rPr>
        <w:t> </w:t>
      </w:r>
    </w:p>
    <w:tbl>
      <w:tblPr>
        <w:tblW w:w="5000" w:type="pct"/>
        <w:tblCellMar>
          <w:top w:w="15" w:type="dxa"/>
          <w:left w:w="15" w:type="dxa"/>
          <w:bottom w:w="15" w:type="dxa"/>
          <w:right w:w="15" w:type="dxa"/>
        </w:tblCellMar>
        <w:tblLook w:val="04A0" w:firstRow="1" w:lastRow="0" w:firstColumn="1" w:lastColumn="0" w:noHBand="0" w:noVBand="1"/>
      </w:tblPr>
      <w:tblGrid>
        <w:gridCol w:w="2898"/>
        <w:gridCol w:w="6158"/>
      </w:tblGrid>
      <w:tr w:rsidR="00C50C01" w14:paraId="74384540" w14:textId="77777777">
        <w:tc>
          <w:tcPr>
            <w:tcW w:w="1600" w:type="pct"/>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592070FA" w14:textId="77777777" w:rsidR="008E5A22" w:rsidRDefault="008E5A22">
            <w:pPr>
              <w:spacing w:before="120" w:after="200"/>
              <w:rPr>
                <w:rFonts w:ascii="Arial" w:eastAsia="Times New Roman" w:hAnsi="Arial" w:cs="Arial"/>
                <w:sz w:val="19"/>
                <w:szCs w:val="19"/>
              </w:rPr>
            </w:pPr>
            <w:r>
              <w:rPr>
                <w:rFonts w:ascii="Arial" w:eastAsia="Times New Roman" w:hAnsi="Arial" w:cs="Arial"/>
                <w:b/>
                <w:bCs/>
                <w:sz w:val="19"/>
                <w:szCs w:val="19"/>
              </w:rPr>
              <w:t>Applicant</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4C9B1317" w14:textId="77777777" w:rsidR="008E5A22" w:rsidRDefault="008E5A22">
            <w:pPr>
              <w:spacing w:before="120" w:after="200"/>
              <w:rPr>
                <w:rFonts w:ascii="Arial" w:eastAsia="Times New Roman" w:hAnsi="Arial" w:cs="Arial"/>
                <w:sz w:val="19"/>
                <w:szCs w:val="19"/>
              </w:rPr>
            </w:pPr>
            <w:r>
              <w:rPr>
                <w:rFonts w:ascii="Arial" w:eastAsia="Times New Roman" w:hAnsi="Arial" w:cs="Arial"/>
                <w:sz w:val="19"/>
                <w:szCs w:val="19"/>
              </w:rPr>
              <w:t>Dr. Max Buczek, Postdoctoral Researcher, Peter Grünberg Institute (PGI-7), Forschungszentrum Jülich, Germany</w:t>
            </w:r>
          </w:p>
        </w:tc>
      </w:tr>
      <w:tr w:rsidR="00C50C01" w14:paraId="2855AC51" w14:textId="77777777">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2DC597AB" w14:textId="77777777" w:rsidR="008E5A22" w:rsidRDefault="008E5A22">
            <w:pPr>
              <w:spacing w:before="120" w:after="200"/>
              <w:rPr>
                <w:rFonts w:ascii="Arial" w:eastAsia="Times New Roman" w:hAnsi="Arial" w:cs="Arial"/>
                <w:sz w:val="19"/>
                <w:szCs w:val="19"/>
              </w:rPr>
            </w:pPr>
            <w:r>
              <w:rPr>
                <w:rFonts w:ascii="Arial" w:eastAsia="Times New Roman" w:hAnsi="Arial" w:cs="Arial"/>
                <w:b/>
                <w:bCs/>
                <w:sz w:val="19"/>
                <w:szCs w:val="19"/>
              </w:rPr>
              <w:t>Host</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105858DC" w14:textId="77777777" w:rsidR="008E5A22" w:rsidRDefault="008E5A22">
            <w:pPr>
              <w:spacing w:before="120" w:after="200"/>
              <w:rPr>
                <w:rFonts w:ascii="Arial" w:eastAsia="Times New Roman" w:hAnsi="Arial" w:cs="Arial"/>
                <w:sz w:val="19"/>
                <w:szCs w:val="19"/>
              </w:rPr>
            </w:pPr>
            <w:r>
              <w:rPr>
                <w:rFonts w:ascii="Arial" w:eastAsia="Times New Roman" w:hAnsi="Arial" w:cs="Arial"/>
                <w:sz w:val="19"/>
                <w:szCs w:val="19"/>
              </w:rPr>
              <w:t>Prof. Dr. William C. Chueh, Department of Materials Science and Engineering, Stanford University, USA – Friedrich Wilhelm Bessel Research Award winner of the AvH Foundation (2021), member of the Humboldt Network</w:t>
            </w:r>
          </w:p>
        </w:tc>
      </w:tr>
      <w:tr w:rsidR="00C50C01" w14:paraId="050C64BA" w14:textId="77777777">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79C06255" w14:textId="77777777" w:rsidR="008E5A22" w:rsidRDefault="008E5A22">
            <w:pPr>
              <w:spacing w:before="120" w:after="200"/>
              <w:rPr>
                <w:rFonts w:ascii="Arial" w:eastAsia="Times New Roman" w:hAnsi="Arial" w:cs="Arial"/>
                <w:sz w:val="19"/>
                <w:szCs w:val="19"/>
              </w:rPr>
            </w:pPr>
            <w:r>
              <w:rPr>
                <w:rFonts w:ascii="Arial" w:eastAsia="Times New Roman" w:hAnsi="Arial" w:cs="Arial"/>
                <w:b/>
                <w:bCs/>
                <w:sz w:val="19"/>
                <w:szCs w:val="19"/>
              </w:rPr>
              <w:t>Host institution</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64895EF2" w14:textId="77777777" w:rsidR="008E5A22" w:rsidRDefault="008E5A22">
            <w:pPr>
              <w:spacing w:before="120" w:after="200"/>
              <w:rPr>
                <w:rFonts w:ascii="Arial" w:eastAsia="Times New Roman" w:hAnsi="Arial" w:cs="Arial"/>
                <w:sz w:val="19"/>
                <w:szCs w:val="19"/>
              </w:rPr>
            </w:pPr>
            <w:r>
              <w:rPr>
                <w:rFonts w:ascii="Arial" w:eastAsia="Times New Roman" w:hAnsi="Arial" w:cs="Arial"/>
                <w:sz w:val="19"/>
                <w:szCs w:val="19"/>
              </w:rPr>
              <w:t>Stanford University / SLAC National Accelerator Laboratory (Stanford Synchrotron Radiation Lightsource, SSRL)</w:t>
            </w:r>
          </w:p>
        </w:tc>
      </w:tr>
      <w:tr w:rsidR="00C50C01" w14:paraId="13962F97" w14:textId="77777777">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4780DBE2" w14:textId="77777777" w:rsidR="008E5A22" w:rsidRDefault="008E5A22">
            <w:pPr>
              <w:spacing w:before="120" w:after="200"/>
              <w:rPr>
                <w:rFonts w:ascii="Arial" w:eastAsia="Times New Roman" w:hAnsi="Arial" w:cs="Arial"/>
                <w:sz w:val="19"/>
                <w:szCs w:val="19"/>
              </w:rPr>
            </w:pPr>
            <w:r>
              <w:rPr>
                <w:rFonts w:ascii="Arial" w:eastAsia="Times New Roman" w:hAnsi="Arial" w:cs="Arial"/>
                <w:b/>
                <w:bCs/>
                <w:sz w:val="19"/>
                <w:szCs w:val="19"/>
              </w:rPr>
              <w:t>Duration</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35803C4D" w14:textId="77777777" w:rsidR="008E5A22" w:rsidRDefault="008E5A22">
            <w:pPr>
              <w:spacing w:before="120" w:after="200"/>
              <w:rPr>
                <w:rFonts w:ascii="Arial" w:eastAsia="Times New Roman" w:hAnsi="Arial" w:cs="Arial"/>
                <w:sz w:val="19"/>
                <w:szCs w:val="19"/>
              </w:rPr>
            </w:pPr>
            <w:r>
              <w:rPr>
                <w:rFonts w:ascii="Arial" w:eastAsia="Times New Roman" w:hAnsi="Arial" w:cs="Arial"/>
                <w:sz w:val="19"/>
                <w:szCs w:val="19"/>
              </w:rPr>
              <w:t>24 months, starting [e.g. Q2/2027; fellowship must begin 2–12 months after the selection meeting]</w:t>
            </w:r>
          </w:p>
        </w:tc>
      </w:tr>
      <w:tr w:rsidR="00C50C01" w14:paraId="2C01BA0E" w14:textId="77777777">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03AC70A0" w14:textId="77777777" w:rsidR="008E5A22" w:rsidRDefault="008E5A22">
            <w:pPr>
              <w:spacing w:before="120" w:after="200"/>
              <w:rPr>
                <w:rFonts w:ascii="Arial" w:eastAsia="Times New Roman" w:hAnsi="Arial" w:cs="Arial"/>
                <w:sz w:val="19"/>
                <w:szCs w:val="19"/>
              </w:rPr>
            </w:pPr>
            <w:r>
              <w:rPr>
                <w:rFonts w:ascii="Arial" w:eastAsia="Times New Roman" w:hAnsi="Arial" w:cs="Arial"/>
                <w:b/>
                <w:bCs/>
                <w:sz w:val="19"/>
                <w:szCs w:val="19"/>
              </w:rPr>
              <w:t>Programme line</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09696985" w14:textId="77777777" w:rsidR="008E5A22" w:rsidRDefault="008E5A22">
            <w:pPr>
              <w:spacing w:before="120" w:after="200"/>
              <w:rPr>
                <w:rFonts w:ascii="Arial" w:eastAsia="Times New Roman" w:hAnsi="Arial" w:cs="Arial"/>
                <w:sz w:val="19"/>
                <w:szCs w:val="19"/>
              </w:rPr>
            </w:pPr>
            <w:r>
              <w:rPr>
                <w:rFonts w:ascii="Arial" w:eastAsia="Times New Roman" w:hAnsi="Arial" w:cs="Arial"/>
                <w:sz w:val="19"/>
                <w:szCs w:val="19"/>
              </w:rPr>
              <w:t>Postdoctoral researchers (doctorate 2026, i.e. within the four-year window)</w:t>
            </w:r>
          </w:p>
        </w:tc>
      </w:tr>
      <w:tr w:rsidR="00C50C01" w14:paraId="42287318" w14:textId="77777777">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594B8167" w14:textId="77777777" w:rsidR="008E5A22" w:rsidRDefault="008E5A22">
            <w:pPr>
              <w:spacing w:before="120" w:after="200"/>
              <w:rPr>
                <w:rFonts w:ascii="Arial" w:eastAsia="Times New Roman" w:hAnsi="Arial" w:cs="Arial"/>
                <w:sz w:val="19"/>
                <w:szCs w:val="19"/>
              </w:rPr>
            </w:pPr>
            <w:r>
              <w:rPr>
                <w:rFonts w:ascii="Arial" w:eastAsia="Times New Roman" w:hAnsi="Arial" w:cs="Arial"/>
                <w:b/>
                <w:bCs/>
                <w:sz w:val="19"/>
                <w:szCs w:val="19"/>
              </w:rPr>
              <w:t>Targeted selection round</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40B02FD9" w14:textId="77777777" w:rsidR="008E5A22" w:rsidRDefault="008E5A22">
            <w:pPr>
              <w:spacing w:before="120" w:after="200"/>
              <w:rPr>
                <w:rFonts w:ascii="Arial" w:eastAsia="Times New Roman" w:hAnsi="Arial" w:cs="Arial"/>
                <w:sz w:val="19"/>
                <w:szCs w:val="19"/>
              </w:rPr>
            </w:pPr>
            <w:r>
              <w:rPr>
                <w:rFonts w:ascii="Arial" w:eastAsia="Times New Roman" w:hAnsi="Arial" w:cs="Arial"/>
                <w:sz w:val="19"/>
                <w:szCs w:val="19"/>
              </w:rPr>
              <w:t>[February/June/October; submission recommended 4–7 months in advance]</w:t>
            </w:r>
          </w:p>
        </w:tc>
      </w:tr>
    </w:tbl>
    <w:p w14:paraId="24D442B3" w14:textId="77777777" w:rsidR="008E5A22" w:rsidRDefault="008E5A22">
      <w:pPr>
        <w:pStyle w:val="NormalWeb"/>
        <w:rPr>
          <w:rFonts w:ascii="Arial" w:hAnsi="Arial" w:cs="Arial"/>
          <w:sz w:val="21"/>
          <w:szCs w:val="21"/>
        </w:rPr>
      </w:pPr>
      <w:r>
        <w:rPr>
          <w:rFonts w:ascii="Arial" w:hAnsi="Arial" w:cs="Arial"/>
          <w:sz w:val="21"/>
          <w:szCs w:val="21"/>
        </w:rPr>
        <w:t> </w:t>
      </w:r>
    </w:p>
    <w:p w14:paraId="7E0FA4D7" w14:textId="77777777" w:rsidR="008E5A22" w:rsidRDefault="008E5A22">
      <w:pPr>
        <w:pStyle w:val="muted"/>
        <w:spacing w:before="0" w:beforeAutospacing="0" w:after="140"/>
        <w:rPr>
          <w:rFonts w:ascii="Arial" w:hAnsi="Arial" w:cs="Arial"/>
        </w:rPr>
      </w:pPr>
      <w:r>
        <w:rPr>
          <w:rFonts w:ascii="Arial" w:hAnsi="Arial" w:cs="Arial"/>
        </w:rPr>
        <w:t>Note: This document contains the research proposal (exposé, max. 5 pages according to AvH requirements) and a checklist of the further application documents. The project is the 24-month nucleus, tailored to a research stay abroad, of the applicant’s longer-term research programme (Emmy Noether/ERC perspective after returning to Germany); per AvH requirements, the exposé must be coordinated with the host before submission.</w:t>
      </w:r>
    </w:p>
    <w:p w14:paraId="3933C7D0" w14:textId="77777777" w:rsidR="008E5A22" w:rsidRDefault="008E5A22">
      <w:pPr>
        <w:pStyle w:val="Heading1"/>
        <w:pageBreakBefore/>
        <w:rPr>
          <w:rFonts w:ascii="Arial" w:eastAsia="Times New Roman" w:hAnsi="Arial" w:cs="Arial"/>
        </w:rPr>
      </w:pPr>
      <w:r>
        <w:rPr>
          <w:rFonts w:ascii="Arial" w:eastAsia="Times New Roman" w:hAnsi="Arial" w:cs="Arial"/>
        </w:rPr>
        <w:lastRenderedPageBreak/>
        <w:t>Research Proposal (Exposé)</w:t>
      </w:r>
    </w:p>
    <w:p w14:paraId="12854C35" w14:textId="77777777" w:rsidR="008E5A22" w:rsidRDefault="008E5A22">
      <w:pPr>
        <w:pStyle w:val="Heading2"/>
        <w:rPr>
          <w:rFonts w:ascii="Arial" w:eastAsia="Times New Roman" w:hAnsi="Arial" w:cs="Arial"/>
        </w:rPr>
      </w:pPr>
      <w:r>
        <w:rPr>
          <w:rFonts w:ascii="Arial" w:eastAsia="Times New Roman" w:hAnsi="Arial" w:cs="Arial"/>
        </w:rPr>
        <w:t>1  Research question and scientific significance</w:t>
      </w:r>
    </w:p>
    <w:p w14:paraId="1EC95856" w14:textId="77777777" w:rsidR="008E5A22" w:rsidRDefault="008E5A22">
      <w:pPr>
        <w:pStyle w:val="NormalWeb"/>
        <w:rPr>
          <w:rFonts w:ascii="Arial" w:hAnsi="Arial" w:cs="Arial"/>
          <w:sz w:val="21"/>
          <w:szCs w:val="21"/>
        </w:rPr>
      </w:pPr>
      <w:r>
        <w:rPr>
          <w:rFonts w:ascii="Arial" w:hAnsi="Arial" w:cs="Arial"/>
          <w:sz w:val="21"/>
          <w:szCs w:val="21"/>
        </w:rPr>
        <w:t>Memristive devices based on the valence change mechanism (VCM) switch their resistance through field-driven creation and migration of oxygen vacancies (V</w:t>
      </w:r>
      <w:r>
        <w:rPr>
          <w:rFonts w:ascii="Arial" w:hAnsi="Arial" w:cs="Arial"/>
          <w:sz w:val="21"/>
          <w:szCs w:val="21"/>
          <w:vertAlign w:val="subscript"/>
        </w:rPr>
        <w:t>O</w:t>
      </w:r>
      <w:r>
        <w:rPr>
          <w:rFonts w:ascii="Arial" w:hAnsi="Arial" w:cs="Arial"/>
          <w:sz w:val="21"/>
          <w:szCs w:val="21"/>
        </w:rPr>
        <w:t>) [1–3]. The oxygen-vacancy formation energy (E</w:t>
      </w:r>
      <w:r>
        <w:rPr>
          <w:rFonts w:ascii="Arial" w:hAnsi="Arial" w:cs="Arial"/>
          <w:sz w:val="21"/>
          <w:szCs w:val="21"/>
          <w:vertAlign w:val="subscript"/>
        </w:rPr>
        <w:t>V</w:t>
      </w:r>
      <w:r>
        <w:rPr>
          <w:rFonts w:ascii="Arial" w:hAnsi="Arial" w:cs="Arial"/>
          <w:sz w:val="21"/>
          <w:szCs w:val="21"/>
        </w:rPr>
        <w:t>) enters all quantitative switching models exponentially [3, 4] – and yet it has never been measured systematically how E</w:t>
      </w:r>
      <w:r>
        <w:rPr>
          <w:rFonts w:ascii="Arial" w:hAnsi="Arial" w:cs="Arial"/>
          <w:sz w:val="21"/>
          <w:szCs w:val="21"/>
          <w:vertAlign w:val="subscript"/>
        </w:rPr>
        <w:t>V</w:t>
      </w:r>
      <w:r>
        <w:rPr>
          <w:rFonts w:ascii="Arial" w:hAnsi="Arial" w:cs="Arial"/>
          <w:sz w:val="21"/>
          <w:szCs w:val="21"/>
        </w:rPr>
        <w:t xml:space="preserve"> determines the central figures of merit (ON/OFF ratio, forming voltage, retention). Energy research, by contrast, has quantitatively established that E</w:t>
      </w:r>
      <w:r>
        <w:rPr>
          <w:rFonts w:ascii="Arial" w:hAnsi="Arial" w:cs="Arial"/>
          <w:sz w:val="21"/>
          <w:szCs w:val="21"/>
          <w:vertAlign w:val="subscript"/>
        </w:rPr>
        <w:t>V</w:t>
      </w:r>
      <w:r>
        <w:rPr>
          <w:rFonts w:ascii="Arial" w:hAnsi="Arial" w:cs="Arial"/>
          <w:sz w:val="21"/>
          <w:szCs w:val="21"/>
        </w:rPr>
        <w:t xml:space="preserve"> in perovskites is controlled by the metal–oxygen covalency: the O-2p band centre scales linearly with E</w:t>
      </w:r>
      <w:r>
        <w:rPr>
          <w:rFonts w:ascii="Arial" w:hAnsi="Arial" w:cs="Arial"/>
          <w:sz w:val="21"/>
          <w:szCs w:val="21"/>
          <w:vertAlign w:val="subscript"/>
        </w:rPr>
        <w:t>V</w:t>
      </w:r>
      <w:r>
        <w:rPr>
          <w:rFonts w:ascii="Arial" w:hAnsi="Arial" w:cs="Arial"/>
          <w:sz w:val="21"/>
          <w:szCs w:val="21"/>
        </w:rPr>
        <w:t xml:space="preserve"> and serves as a descriptor for catalysis and oxygen transport [5–8]. My project connects these two worlds experimentally for the first time – using the model series Pr</w:t>
      </w:r>
      <w:r>
        <w:rPr>
          <w:rFonts w:ascii="Arial" w:hAnsi="Arial" w:cs="Arial"/>
          <w:sz w:val="21"/>
          <w:szCs w:val="21"/>
          <w:vertAlign w:val="subscript"/>
        </w:rPr>
        <w:t>1-x</w:t>
      </w:r>
      <w:r>
        <w:rPr>
          <w:rFonts w:ascii="Arial" w:hAnsi="Arial" w:cs="Arial"/>
          <w:sz w:val="21"/>
          <w:szCs w:val="21"/>
        </w:rPr>
        <w:t>Ca</w:t>
      </w:r>
      <w:r>
        <w:rPr>
          <w:rFonts w:ascii="Arial" w:hAnsi="Arial" w:cs="Arial"/>
          <w:sz w:val="21"/>
          <w:szCs w:val="21"/>
          <w:vertAlign w:val="subscript"/>
        </w:rPr>
        <w:t>x</w:t>
      </w:r>
      <w:r>
        <w:rPr>
          <w:rFonts w:ascii="Arial" w:hAnsi="Arial" w:cs="Arial"/>
          <w:sz w:val="21"/>
          <w:szCs w:val="21"/>
        </w:rPr>
        <w:t>MnO</w:t>
      </w:r>
      <w:r>
        <w:rPr>
          <w:rFonts w:ascii="Arial" w:hAnsi="Arial" w:cs="Arial"/>
          <w:sz w:val="21"/>
          <w:szCs w:val="21"/>
          <w:vertAlign w:val="subscript"/>
        </w:rPr>
        <w:t>3</w:t>
      </w:r>
      <w:r>
        <w:rPr>
          <w:rFonts w:ascii="Arial" w:hAnsi="Arial" w:cs="Arial"/>
          <w:sz w:val="21"/>
          <w:szCs w:val="21"/>
        </w:rPr>
        <w:t xml:space="preserve"> (PCMO), the best-documented perovskite memristor family.</w:t>
      </w:r>
    </w:p>
    <w:p w14:paraId="2D4E8EDF" w14:textId="77777777" w:rsidR="008E5A22" w:rsidRDefault="008E5A22">
      <w:pPr>
        <w:pStyle w:val="NormalWeb"/>
        <w:rPr>
          <w:rFonts w:ascii="Arial" w:hAnsi="Arial" w:cs="Arial"/>
          <w:sz w:val="21"/>
          <w:szCs w:val="21"/>
        </w:rPr>
      </w:pPr>
      <w:r>
        <w:rPr>
          <w:rFonts w:ascii="Arial" w:hAnsi="Arial" w:cs="Arial"/>
          <w:sz w:val="21"/>
          <w:szCs w:val="21"/>
        </w:rPr>
        <w:t xml:space="preserve">PCMO is the ideal test system for a </w:t>
      </w:r>
      <w:r>
        <w:rPr>
          <w:rFonts w:ascii="Arial" w:hAnsi="Arial" w:cs="Arial"/>
          <w:i/>
          <w:iCs/>
          <w:sz w:val="21"/>
          <w:szCs w:val="21"/>
        </w:rPr>
        <w:t>clean</w:t>
      </w:r>
      <w:r>
        <w:rPr>
          <w:rFonts w:ascii="Arial" w:hAnsi="Arial" w:cs="Arial"/>
          <w:sz w:val="21"/>
          <w:szCs w:val="21"/>
        </w:rPr>
        <w:t xml:space="preserve"> covalency study, for three reasons. </w:t>
      </w:r>
      <w:r>
        <w:rPr>
          <w:rFonts w:ascii="Arial" w:hAnsi="Arial" w:cs="Arial"/>
          <w:b/>
          <w:bCs/>
          <w:sz w:val="21"/>
          <w:szCs w:val="21"/>
        </w:rPr>
        <w:t>(i) The covalency axis is established:</w:t>
      </w:r>
      <w:r>
        <w:rPr>
          <w:rFonts w:ascii="Arial" w:hAnsi="Arial" w:cs="Arial"/>
          <w:sz w:val="21"/>
          <w:szCs w:val="21"/>
        </w:rPr>
        <w:t xml:space="preserve"> Ca</w:t>
      </w:r>
      <w:r>
        <w:rPr>
          <w:rFonts w:ascii="Arial" w:hAnsi="Arial" w:cs="Arial"/>
          <w:sz w:val="21"/>
          <w:szCs w:val="21"/>
          <w:vertAlign w:val="superscript"/>
        </w:rPr>
        <w:t>2+</w:t>
      </w:r>
      <w:r>
        <w:rPr>
          <w:rFonts w:ascii="Arial" w:hAnsi="Arial" w:cs="Arial"/>
          <w:sz w:val="21"/>
          <w:szCs w:val="21"/>
        </w:rPr>
        <w:t xml:space="preserve"> substitution dopes holes with substantial O-2p character into the mixed-valent Mn</w:t>
      </w:r>
      <w:r>
        <w:rPr>
          <w:rFonts w:ascii="Arial" w:hAnsi="Arial" w:cs="Arial"/>
          <w:sz w:val="21"/>
          <w:szCs w:val="21"/>
          <w:vertAlign w:val="superscript"/>
        </w:rPr>
        <w:t>3+</w:t>
      </w:r>
      <w:r>
        <w:rPr>
          <w:rFonts w:ascii="Arial" w:hAnsi="Arial" w:cs="Arial"/>
          <w:sz w:val="21"/>
          <w:szCs w:val="21"/>
        </w:rPr>
        <w:t>/Mn</w:t>
      </w:r>
      <w:r>
        <w:rPr>
          <w:rFonts w:ascii="Arial" w:hAnsi="Arial" w:cs="Arial"/>
          <w:sz w:val="21"/>
          <w:szCs w:val="21"/>
          <w:vertAlign w:val="superscript"/>
        </w:rPr>
        <w:t>4+</w:t>
      </w:r>
      <w:r>
        <w:rPr>
          <w:rFonts w:ascii="Arial" w:hAnsi="Arial" w:cs="Arial"/>
          <w:sz w:val="21"/>
          <w:szCs w:val="21"/>
        </w:rPr>
        <w:t xml:space="preserve"> system; the resulting increase of Mn3d–O2p hybridisation with x is directly measurable at the O-K edge and has recently been quantified across the PCMO series in the electrocatalysis context [9] – precisely the descriptor knowledge this project transfers to memristive switching, with the classic manganite X-ray absorption literature as calibration base [10, 11]. </w:t>
      </w:r>
      <w:r>
        <w:rPr>
          <w:rFonts w:ascii="Arial" w:hAnsi="Arial" w:cs="Arial"/>
          <w:b/>
          <w:bCs/>
          <w:sz w:val="21"/>
          <w:szCs w:val="21"/>
        </w:rPr>
        <w:t>(ii) The switching axis is established:</w:t>
      </w:r>
      <w:r>
        <w:rPr>
          <w:rFonts w:ascii="Arial" w:hAnsi="Arial" w:cs="Arial"/>
          <w:sz w:val="21"/>
          <w:szCs w:val="21"/>
        </w:rPr>
        <w:t xml:space="preserve"> PCMO delivered the first perovskite ReRAM demonstrations [12, 13], its interface redox mechanism is spectroscopically proven [14], and the field is comprehensively mapped in my first-author Chemical Reviews article [E2]. Crucially, the </w:t>
      </w:r>
      <w:r>
        <w:rPr>
          <w:rFonts w:ascii="Arial" w:hAnsi="Arial" w:cs="Arial"/>
          <w:i/>
          <w:iCs/>
          <w:sz w:val="21"/>
          <w:szCs w:val="21"/>
        </w:rPr>
        <w:t>only complete composition-resolved switching study in the entire perovskite ReRAM literature</w:t>
      </w:r>
      <w:r>
        <w:rPr>
          <w:rFonts w:ascii="Arial" w:hAnsi="Arial" w:cs="Arial"/>
          <w:sz w:val="21"/>
          <w:szCs w:val="21"/>
        </w:rPr>
        <w:t xml:space="preserve"> exists for PCMO: Asanuma et al. measured Ti/Pr</w:t>
      </w:r>
      <w:r>
        <w:rPr>
          <w:rFonts w:ascii="Arial" w:hAnsi="Arial" w:cs="Arial"/>
          <w:sz w:val="21"/>
          <w:szCs w:val="21"/>
          <w:vertAlign w:val="subscript"/>
        </w:rPr>
        <w:t>1-x</w:t>
      </w:r>
      <w:r>
        <w:rPr>
          <w:rFonts w:ascii="Arial" w:hAnsi="Arial" w:cs="Arial"/>
          <w:sz w:val="21"/>
          <w:szCs w:val="21"/>
        </w:rPr>
        <w:t>Ca</w:t>
      </w:r>
      <w:r>
        <w:rPr>
          <w:rFonts w:ascii="Arial" w:hAnsi="Arial" w:cs="Arial"/>
          <w:sz w:val="21"/>
          <w:szCs w:val="21"/>
          <w:vertAlign w:val="subscript"/>
        </w:rPr>
        <w:t>x</w:t>
      </w:r>
      <w:r>
        <w:rPr>
          <w:rFonts w:ascii="Arial" w:hAnsi="Arial" w:cs="Arial"/>
          <w:sz w:val="21"/>
          <w:szCs w:val="21"/>
        </w:rPr>
        <w:t>MnO</w:t>
      </w:r>
      <w:r>
        <w:rPr>
          <w:rFonts w:ascii="Arial" w:hAnsi="Arial" w:cs="Arial"/>
          <w:sz w:val="21"/>
          <w:szCs w:val="21"/>
          <w:vertAlign w:val="subscript"/>
        </w:rPr>
        <w:t>3</w:t>
      </w:r>
      <w:r>
        <w:rPr>
          <w:rFonts w:ascii="Arial" w:hAnsi="Arial" w:cs="Arial"/>
          <w:sz w:val="21"/>
          <w:szCs w:val="21"/>
        </w:rPr>
        <w:t xml:space="preserve"> junctions across the full Ca range and found a pronounced maximum of the switching ratio at x ≈ 0.4, with switching disappearing for x &gt; 0.8 [16] – a striking result that has remained without a materials-descriptor explanation for over fifteen years. </w:t>
      </w:r>
      <w:r>
        <w:rPr>
          <w:rFonts w:ascii="Arial" w:hAnsi="Arial" w:cs="Arial"/>
          <w:b/>
          <w:bCs/>
          <w:sz w:val="21"/>
          <w:szCs w:val="21"/>
        </w:rPr>
        <w:t>(iii) The mechanism is stable across the series:</w:t>
      </w:r>
      <w:r>
        <w:rPr>
          <w:rFonts w:ascii="Arial" w:hAnsi="Arial" w:cs="Arial"/>
          <w:sz w:val="21"/>
          <w:szCs w:val="21"/>
        </w:rPr>
        <w:t xml:space="preserve"> PCMO remains a perovskite and stays insulating over the entire doping range (narrow bandwidth) – no topotactic brownmillerite transition and no metal–insulator transition interferes, in deliberate contrast to the ferrite and cobaltite families, where the switching mechanism itself changes with doping. Covalency thus remains the truly isolated variable. My central hypothesis: the Asanuma optimum </w:t>
      </w:r>
      <w:r>
        <w:rPr>
          <w:rFonts w:ascii="Arial" w:hAnsi="Arial" w:cs="Arial"/>
          <w:i/>
          <w:iCs/>
          <w:sz w:val="21"/>
          <w:szCs w:val="21"/>
        </w:rPr>
        <w:t>is</w:t>
      </w:r>
      <w:r>
        <w:rPr>
          <w:rFonts w:ascii="Arial" w:hAnsi="Arial" w:cs="Arial"/>
          <w:sz w:val="21"/>
          <w:szCs w:val="21"/>
        </w:rPr>
        <w:t xml:space="preserve"> the covalency optimum (“Goldilocks zone”) – and its position can be predicted from an experimentally measured XAS covalency descriptor. This project adds the missing descriptor axis to the established switching axis; related composition series [15, 17] serve as consistency checks.</w:t>
      </w:r>
    </w:p>
    <w:p w14:paraId="39CBBA42" w14:textId="77777777" w:rsidR="008E5A22" w:rsidRDefault="008E5A22">
      <w:pPr>
        <w:pStyle w:val="Heading2"/>
        <w:rPr>
          <w:rFonts w:ascii="Arial" w:eastAsia="Times New Roman" w:hAnsi="Arial" w:cs="Arial"/>
        </w:rPr>
      </w:pPr>
      <w:r>
        <w:rPr>
          <w:rFonts w:ascii="Arial" w:eastAsia="Times New Roman" w:hAnsi="Arial" w:cs="Arial"/>
        </w:rPr>
        <w:t>2  Why the Chueh group at Stanford is the ideal place</w:t>
      </w:r>
    </w:p>
    <w:p w14:paraId="57B5471F" w14:textId="77777777" w:rsidR="008E5A22" w:rsidRDefault="008E5A22">
      <w:pPr>
        <w:pStyle w:val="NormalWeb"/>
        <w:rPr>
          <w:rFonts w:ascii="Arial" w:hAnsi="Arial" w:cs="Arial"/>
          <w:sz w:val="21"/>
          <w:szCs w:val="21"/>
        </w:rPr>
      </w:pPr>
      <w:r>
        <w:rPr>
          <w:rFonts w:ascii="Arial" w:hAnsi="Arial" w:cs="Arial"/>
          <w:sz w:val="21"/>
          <w:szCs w:val="21"/>
        </w:rPr>
        <w:t>The group of Prof. William Chueh is a world leader in exactly the combination this project requires: defect chemistry and non-stoichiometry of redox-active oxides, quantitative operando X-ray absorption spectroscopy at the in-house Stanford Synchrotron Radiation Lightsource (SSRL), and redox chemistry of epitaxial perovskite thin films [18–20]. The group’s seminal work on the redox activity of oxygen anions in oxygen-deficient perovskites [19] is a direct methodological blueprint for my project; the Nature Materials study on atomically defined LaNiO</w:t>
      </w:r>
      <w:r>
        <w:rPr>
          <w:rFonts w:ascii="Arial" w:hAnsi="Arial" w:cs="Arial"/>
          <w:sz w:val="21"/>
          <w:szCs w:val="21"/>
          <w:vertAlign w:val="subscript"/>
        </w:rPr>
        <w:t>3</w:t>
      </w:r>
      <w:r>
        <w:rPr>
          <w:rFonts w:ascii="Arial" w:hAnsi="Arial" w:cs="Arial"/>
          <w:sz w:val="21"/>
          <w:szCs w:val="21"/>
        </w:rPr>
        <w:t xml:space="preserve"> surfaces [20] – with Christoph Baeumer from the Jülich school as first author – furthermore demonstrates that the group routinely masters epitaxial perovskite model systems of the type proposed here and successfully integrates German postdocs. Direct SSRL access makes XAS campaigns plannable that in Europe cost months of lead time through competitive single proposals. Complementarily, I contribute the device side, from which the Stanford environment profits in turn: PLD process development, memristive device processing and statistically robust switching characterisation from five years at the Peter Grünberg Institute (PGI-7, group of Prof. Dittmann) – acquired on PCMO itself, the very material of this proposal [E1–E3]. This is the strongest possible de-risking for a 24-month project: growth windows, device processing and measurement protocols for PCMO are my established expertise, so the fellowship time is spent on the genuinely new element – the spectroscopic descriptor axis. The constellation is thus a genuine two-way transfer of knowledge. For complementary epitaxial growth questions, the environment of the Stanford Institute for Materials and Energy Sciences (SIMES) at SLAC is available. As a Bessel Research Award winner (2021), Prof. Chueh is a member of the Humboldt Network and has repeatedly hosted German postdocs – the host eligibility required by the programme is given.</w:t>
      </w:r>
    </w:p>
    <w:p w14:paraId="60766599" w14:textId="77777777" w:rsidR="008E5A22" w:rsidRDefault="008E5A22">
      <w:pPr>
        <w:pStyle w:val="Heading2"/>
        <w:rPr>
          <w:rFonts w:ascii="Arial" w:eastAsia="Times New Roman" w:hAnsi="Arial" w:cs="Arial"/>
        </w:rPr>
      </w:pPr>
      <w:r>
        <w:rPr>
          <w:rFonts w:ascii="Arial" w:eastAsia="Times New Roman" w:hAnsi="Arial" w:cs="Arial"/>
        </w:rPr>
        <w:t>3  Work programme (24 months)</w:t>
      </w:r>
    </w:p>
    <w:p w14:paraId="392489A8" w14:textId="77777777" w:rsidR="008E5A22" w:rsidRDefault="008E5A22">
      <w:pPr>
        <w:pStyle w:val="Heading3"/>
        <w:rPr>
          <w:rFonts w:ascii="Arial" w:eastAsia="Times New Roman" w:hAnsi="Arial" w:cs="Arial"/>
        </w:rPr>
      </w:pPr>
      <w:r>
        <w:rPr>
          <w:rFonts w:ascii="Arial" w:eastAsia="Times New Roman" w:hAnsi="Arial" w:cs="Arial"/>
        </w:rPr>
        <w:t>WP1 – Synthesis and descriptor measurement of the PCMO series (months 1–10)</w:t>
      </w:r>
    </w:p>
    <w:p w14:paraId="49C1BB29" w14:textId="77777777" w:rsidR="008E5A22" w:rsidRDefault="008E5A22">
      <w:pPr>
        <w:pStyle w:val="NormalWeb"/>
        <w:rPr>
          <w:rFonts w:ascii="Arial" w:hAnsi="Arial" w:cs="Arial"/>
          <w:sz w:val="21"/>
          <w:szCs w:val="21"/>
        </w:rPr>
      </w:pPr>
      <w:r>
        <w:rPr>
          <w:rFonts w:ascii="Arial" w:hAnsi="Arial" w:cs="Arial"/>
          <w:sz w:val="21"/>
          <w:szCs w:val="21"/>
        </w:rPr>
        <w:t>PLD growth of epitaxial Pr</w:t>
      </w:r>
      <w:r>
        <w:rPr>
          <w:rFonts w:ascii="Arial" w:hAnsi="Arial" w:cs="Arial"/>
          <w:sz w:val="21"/>
          <w:szCs w:val="21"/>
          <w:vertAlign w:val="subscript"/>
        </w:rPr>
        <w:t>1-x</w:t>
      </w:r>
      <w:r>
        <w:rPr>
          <w:rFonts w:ascii="Arial" w:hAnsi="Arial" w:cs="Arial"/>
          <w:sz w:val="21"/>
          <w:szCs w:val="21"/>
        </w:rPr>
        <w:t>Ca</w:t>
      </w:r>
      <w:r>
        <w:rPr>
          <w:rFonts w:ascii="Arial" w:hAnsi="Arial" w:cs="Arial"/>
          <w:sz w:val="21"/>
          <w:szCs w:val="21"/>
          <w:vertAlign w:val="subscript"/>
        </w:rPr>
        <w:t>x</w:t>
      </w:r>
      <w:r>
        <w:rPr>
          <w:rFonts w:ascii="Arial" w:hAnsi="Arial" w:cs="Arial"/>
          <w:sz w:val="21"/>
          <w:szCs w:val="21"/>
        </w:rPr>
        <w:t>MnO</w:t>
      </w:r>
      <w:r>
        <w:rPr>
          <w:rFonts w:ascii="Arial" w:hAnsi="Arial" w:cs="Arial"/>
          <w:sz w:val="21"/>
          <w:szCs w:val="21"/>
          <w:vertAlign w:val="subscript"/>
        </w:rPr>
        <w:t>3</w:t>
      </w:r>
      <w:r>
        <w:rPr>
          <w:rFonts w:ascii="Arial" w:hAnsi="Arial" w:cs="Arial"/>
          <w:sz w:val="21"/>
          <w:szCs w:val="21"/>
        </w:rPr>
        <w:t xml:space="preserve"> films (x = 0.1; 0.2; 0.3; 0.4; 0.5; 0.65; 0.8 – dense sampling around the reported switching optimum at x ≈ 0.4 and up to the x &gt; 0.8 regime where switching reportedly vanishes [16]) on Nb:SrTiO</w:t>
      </w:r>
      <w:r>
        <w:rPr>
          <w:rFonts w:ascii="Arial" w:hAnsi="Arial" w:cs="Arial"/>
          <w:sz w:val="21"/>
          <w:szCs w:val="21"/>
          <w:vertAlign w:val="subscript"/>
        </w:rPr>
        <w:t>3</w:t>
      </w:r>
      <w:r>
        <w:rPr>
          <w:rFonts w:ascii="Arial" w:hAnsi="Arial" w:cs="Arial"/>
          <w:sz w:val="21"/>
          <w:szCs w:val="21"/>
        </w:rPr>
        <w:t xml:space="preserve"> substrates in the Stanford/SLAC thin-film laboratories, building directly on my PCMO growth expertise [E1–E3]; structural validation (XRD, AFM); cation and oxygen stoichiometry (XPS, RBS where required). In parallel, first XAS campaign at SSRL: O-K pre-edge quantification following the procedure of Suntivich et al. [11], benchmarked against the published PCMO covalence analysis [9], and Mn-L</w:t>
      </w:r>
      <w:r>
        <w:rPr>
          <w:rFonts w:ascii="Arial" w:hAnsi="Arial" w:cs="Arial"/>
          <w:sz w:val="21"/>
          <w:szCs w:val="21"/>
          <w:vertAlign w:val="subscript"/>
        </w:rPr>
        <w:t>2,3</w:t>
      </w:r>
      <w:r>
        <w:rPr>
          <w:rFonts w:ascii="Arial" w:hAnsi="Arial" w:cs="Arial"/>
          <w:sz w:val="21"/>
          <w:szCs w:val="21"/>
        </w:rPr>
        <w:t xml:space="preserve"> valence analysis for every composition → experimental covalency scale of the series. </w:t>
      </w:r>
      <w:r>
        <w:rPr>
          <w:rFonts w:ascii="Arial" w:hAnsi="Arial" w:cs="Arial"/>
          <w:i/>
          <w:iCs/>
          <w:sz w:val="21"/>
          <w:szCs w:val="21"/>
        </w:rPr>
        <w:t>Milestone M1 (month 10): validated sample series with complete descriptor set.</w:t>
      </w:r>
    </w:p>
    <w:p w14:paraId="2835F886" w14:textId="77777777" w:rsidR="008E5A22" w:rsidRDefault="008E5A22">
      <w:pPr>
        <w:pStyle w:val="Heading3"/>
        <w:rPr>
          <w:rFonts w:ascii="Arial" w:eastAsia="Times New Roman" w:hAnsi="Arial" w:cs="Arial"/>
        </w:rPr>
      </w:pPr>
      <w:r>
        <w:rPr>
          <w:rFonts w:ascii="Arial" w:eastAsia="Times New Roman" w:hAnsi="Arial" w:cs="Arial"/>
        </w:rPr>
        <w:t>WP2 – Devices and switching characterisation (months 8–18)</w:t>
      </w:r>
    </w:p>
    <w:p w14:paraId="398C0459" w14:textId="77777777" w:rsidR="008E5A22" w:rsidRDefault="008E5A22">
      <w:pPr>
        <w:pStyle w:val="NormalWeb"/>
        <w:rPr>
          <w:rFonts w:ascii="Arial" w:hAnsi="Arial" w:cs="Arial"/>
          <w:sz w:val="21"/>
          <w:szCs w:val="21"/>
        </w:rPr>
      </w:pPr>
      <w:r>
        <w:rPr>
          <w:rFonts w:ascii="Arial" w:hAnsi="Arial" w:cs="Arial"/>
          <w:sz w:val="21"/>
          <w:szCs w:val="21"/>
        </w:rPr>
        <w:t xml:space="preserve">Two device flavours per composition, processed photolithographically with ≥ 30 nominally identical cells each: (i) a </w:t>
      </w:r>
      <w:r>
        <w:rPr>
          <w:rFonts w:ascii="Arial" w:hAnsi="Arial" w:cs="Arial"/>
          <w:i/>
          <w:iCs/>
          <w:sz w:val="21"/>
          <w:szCs w:val="21"/>
        </w:rPr>
        <w:t>benchmark geometry</w:t>
      </w:r>
      <w:r>
        <w:rPr>
          <w:rFonts w:ascii="Arial" w:hAnsi="Arial" w:cs="Arial"/>
          <w:sz w:val="21"/>
          <w:szCs w:val="21"/>
        </w:rPr>
        <w:t xml:space="preserve"> with reactive Ti top electrodes reproducing the Asanuma configuration [16] for direct quantitative comparability with the published switching-vs-x dataset, and (ii) a </w:t>
      </w:r>
      <w:r>
        <w:rPr>
          <w:rFonts w:ascii="Arial" w:hAnsi="Arial" w:cs="Arial"/>
          <w:i/>
          <w:iCs/>
          <w:sz w:val="21"/>
          <w:szCs w:val="21"/>
        </w:rPr>
        <w:t>clean geometry</w:t>
      </w:r>
      <w:r>
        <w:rPr>
          <w:rFonts w:ascii="Arial" w:hAnsi="Arial" w:cs="Arial"/>
          <w:sz w:val="21"/>
          <w:szCs w:val="21"/>
        </w:rPr>
        <w:t xml:space="preserve"> with inert Pt top electrodes on Nb:SrTiO</w:t>
      </w:r>
      <w:r>
        <w:rPr>
          <w:rFonts w:ascii="Arial" w:hAnsi="Arial" w:cs="Arial"/>
          <w:sz w:val="21"/>
          <w:szCs w:val="21"/>
          <w:vertAlign w:val="subscript"/>
        </w:rPr>
        <w:t>3</w:t>
      </w:r>
      <w:r>
        <w:rPr>
          <w:rFonts w:ascii="Arial" w:hAnsi="Arial" w:cs="Arial"/>
          <w:sz w:val="21"/>
          <w:szCs w:val="21"/>
        </w:rPr>
        <w:t xml:space="preserve">, isolating the covalency effect from reactive-electrode interface chemistry [14]. Quasistatic and pulsed switching characterisation following the statistics protocol established in my doctorate (ON/OFF at defined read-out voltage, forming requirement, switching kinetics, temperature-accelerated retention, endurance). </w:t>
      </w:r>
      <w:r>
        <w:rPr>
          <w:rFonts w:ascii="Arial" w:hAnsi="Arial" w:cs="Arial"/>
          <w:i/>
          <w:iCs/>
          <w:sz w:val="21"/>
          <w:szCs w:val="21"/>
        </w:rPr>
        <w:t>Milestone M2 (month 18): switching figures of merit as a function of x, in both geometries, with robust statistics.</w:t>
      </w:r>
    </w:p>
    <w:p w14:paraId="4B8F91BD" w14:textId="77777777" w:rsidR="008E5A22" w:rsidRDefault="008E5A22">
      <w:pPr>
        <w:pStyle w:val="Heading3"/>
        <w:rPr>
          <w:rFonts w:ascii="Arial" w:eastAsia="Times New Roman" w:hAnsi="Arial" w:cs="Arial"/>
        </w:rPr>
      </w:pPr>
      <w:r>
        <w:rPr>
          <w:rFonts w:ascii="Arial" w:eastAsia="Times New Roman" w:hAnsi="Arial" w:cs="Arial"/>
        </w:rPr>
        <w:t>WP3 – Correlation, operando validation and publication (months 16–24)</w:t>
      </w:r>
    </w:p>
    <w:p w14:paraId="5DD6DD78" w14:textId="77777777" w:rsidR="008E5A22" w:rsidRDefault="008E5A22">
      <w:pPr>
        <w:pStyle w:val="NormalWeb"/>
        <w:rPr>
          <w:rFonts w:ascii="Arial" w:hAnsi="Arial" w:cs="Arial"/>
          <w:sz w:val="21"/>
          <w:szCs w:val="21"/>
        </w:rPr>
      </w:pPr>
      <w:r>
        <w:rPr>
          <w:rFonts w:ascii="Arial" w:hAnsi="Arial" w:cs="Arial"/>
          <w:sz w:val="21"/>
          <w:szCs w:val="21"/>
        </w:rPr>
        <w:t>Correlation analysis covalency (XAS) ↔ E</w:t>
      </w:r>
      <w:r>
        <w:rPr>
          <w:rFonts w:ascii="Arial" w:hAnsi="Arial" w:cs="Arial"/>
          <w:sz w:val="21"/>
          <w:szCs w:val="21"/>
          <w:vertAlign w:val="subscript"/>
        </w:rPr>
        <w:t>V</w:t>
      </w:r>
      <w:r>
        <w:rPr>
          <w:rFonts w:ascii="Arial" w:hAnsi="Arial" w:cs="Arial"/>
          <w:sz w:val="21"/>
          <w:szCs w:val="21"/>
        </w:rPr>
        <w:t xml:space="preserve"> (literature descriptor models [5–8]) ↔ switching metrics; test of the central hypothesis that the covalency descriptor predicts the position of the Asanuma optimum. Second SSRL campaign: XAS on switched cells (ex-situ before/after switching, operando if successful) to verify that the composition-dependent differences indeed rest on different V</w:t>
      </w:r>
      <w:r>
        <w:rPr>
          <w:rFonts w:ascii="Arial" w:hAnsi="Arial" w:cs="Arial"/>
          <w:sz w:val="21"/>
          <w:szCs w:val="21"/>
          <w:vertAlign w:val="subscript"/>
        </w:rPr>
        <w:t>O</w:t>
      </w:r>
      <w:r>
        <w:rPr>
          <w:rFonts w:ascii="Arial" w:hAnsi="Arial" w:cs="Arial"/>
          <w:sz w:val="21"/>
          <w:szCs w:val="21"/>
        </w:rPr>
        <w:t xml:space="preserve"> dynamics. Publication of the first covalency-resolved memristor study of a perovskite series; dataset released following FAIR principles. </w:t>
      </w:r>
      <w:r>
        <w:rPr>
          <w:rFonts w:ascii="Arial" w:hAnsi="Arial" w:cs="Arial"/>
          <w:i/>
          <w:iCs/>
          <w:sz w:val="21"/>
          <w:szCs w:val="21"/>
        </w:rPr>
        <w:t>Milestone M3 (month 24): submitted publication(s), public dataset.</w:t>
      </w:r>
    </w:p>
    <w:p w14:paraId="16FB2E52" w14:textId="77777777" w:rsidR="008E5A22" w:rsidRDefault="008E5A22">
      <w:pPr>
        <w:pStyle w:val="Heading2"/>
        <w:rPr>
          <w:rFonts w:ascii="Arial" w:eastAsia="Times New Roman" w:hAnsi="Arial" w:cs="Arial"/>
        </w:rPr>
      </w:pPr>
      <w:r>
        <w:rPr>
          <w:rFonts w:ascii="Arial" w:eastAsia="Times New Roman" w:hAnsi="Arial" w:cs="Arial"/>
        </w:rPr>
        <w:t>4  Timeline</w:t>
      </w:r>
    </w:p>
    <w:tbl>
      <w:tblPr>
        <w:tblW w:w="5000" w:type="pct"/>
        <w:tblCellMar>
          <w:top w:w="15" w:type="dxa"/>
          <w:left w:w="15" w:type="dxa"/>
          <w:bottom w:w="15" w:type="dxa"/>
          <w:right w:w="15" w:type="dxa"/>
        </w:tblCellMar>
        <w:tblLook w:val="04A0" w:firstRow="1" w:lastRow="0" w:firstColumn="1" w:lastColumn="0" w:noHBand="0" w:noVBand="1"/>
      </w:tblPr>
      <w:tblGrid>
        <w:gridCol w:w="3623"/>
        <w:gridCol w:w="680"/>
        <w:gridCol w:w="679"/>
        <w:gridCol w:w="679"/>
        <w:gridCol w:w="679"/>
        <w:gridCol w:w="679"/>
        <w:gridCol w:w="679"/>
        <w:gridCol w:w="679"/>
        <w:gridCol w:w="679"/>
      </w:tblGrid>
      <w:tr w:rsidR="00C50C01" w14:paraId="515A1BA6" w14:textId="77777777">
        <w:tc>
          <w:tcPr>
            <w:tcW w:w="2000" w:type="pct"/>
            <w:tcBorders>
              <w:top w:val="single" w:sz="6" w:space="0" w:color="999999"/>
              <w:left w:val="single" w:sz="6" w:space="0" w:color="999999"/>
              <w:bottom w:val="single" w:sz="6" w:space="0" w:color="999999"/>
              <w:right w:val="single" w:sz="6" w:space="0" w:color="999999"/>
            </w:tcBorders>
            <w:shd w:val="clear" w:color="auto" w:fill="E7F0EA"/>
            <w:tcMar>
              <w:top w:w="60" w:type="dxa"/>
              <w:left w:w="100" w:type="dxa"/>
              <w:bottom w:w="60" w:type="dxa"/>
              <w:right w:w="100" w:type="dxa"/>
            </w:tcMar>
            <w:hideMark/>
          </w:tcPr>
          <w:p w14:paraId="3D2CBE94" w14:textId="77777777" w:rsidR="008E5A22" w:rsidRDefault="008E5A22">
            <w:pPr>
              <w:spacing w:before="120" w:after="200"/>
              <w:rPr>
                <w:rFonts w:ascii="Arial" w:eastAsia="Times New Roman" w:hAnsi="Arial" w:cs="Arial"/>
                <w:b/>
                <w:bCs/>
                <w:sz w:val="19"/>
                <w:szCs w:val="19"/>
              </w:rPr>
            </w:pPr>
            <w:r>
              <w:rPr>
                <w:rFonts w:ascii="Arial" w:eastAsia="Times New Roman" w:hAnsi="Arial" w:cs="Arial"/>
                <w:b/>
                <w:bCs/>
                <w:sz w:val="19"/>
                <w:szCs w:val="19"/>
              </w:rPr>
              <w:t>Work package</w:t>
            </w:r>
          </w:p>
        </w:tc>
        <w:tc>
          <w:tcPr>
            <w:tcW w:w="0" w:type="auto"/>
            <w:tcBorders>
              <w:top w:val="single" w:sz="6" w:space="0" w:color="999999"/>
              <w:left w:val="single" w:sz="6" w:space="0" w:color="999999"/>
              <w:bottom w:val="single" w:sz="6" w:space="0" w:color="999999"/>
              <w:right w:val="single" w:sz="6" w:space="0" w:color="999999"/>
            </w:tcBorders>
            <w:shd w:val="clear" w:color="auto" w:fill="E7F0EA"/>
            <w:tcMar>
              <w:top w:w="60" w:type="dxa"/>
              <w:left w:w="100" w:type="dxa"/>
              <w:bottom w:w="60" w:type="dxa"/>
              <w:right w:w="100" w:type="dxa"/>
            </w:tcMar>
            <w:hideMark/>
          </w:tcPr>
          <w:p w14:paraId="789815D8" w14:textId="77777777" w:rsidR="008E5A22" w:rsidRDefault="008E5A22">
            <w:pPr>
              <w:spacing w:before="120" w:after="200"/>
              <w:rPr>
                <w:rFonts w:ascii="Arial" w:eastAsia="Times New Roman" w:hAnsi="Arial" w:cs="Arial"/>
                <w:b/>
                <w:bCs/>
                <w:sz w:val="19"/>
                <w:szCs w:val="19"/>
              </w:rPr>
            </w:pPr>
            <w:r>
              <w:rPr>
                <w:rFonts w:ascii="Arial" w:eastAsia="Times New Roman" w:hAnsi="Arial" w:cs="Arial"/>
                <w:b/>
                <w:bCs/>
                <w:sz w:val="19"/>
                <w:szCs w:val="19"/>
              </w:rPr>
              <w:t>Q1</w:t>
            </w:r>
          </w:p>
        </w:tc>
        <w:tc>
          <w:tcPr>
            <w:tcW w:w="0" w:type="auto"/>
            <w:tcBorders>
              <w:top w:val="single" w:sz="6" w:space="0" w:color="999999"/>
              <w:left w:val="single" w:sz="6" w:space="0" w:color="999999"/>
              <w:bottom w:val="single" w:sz="6" w:space="0" w:color="999999"/>
              <w:right w:val="single" w:sz="6" w:space="0" w:color="999999"/>
            </w:tcBorders>
            <w:shd w:val="clear" w:color="auto" w:fill="E7F0EA"/>
            <w:tcMar>
              <w:top w:w="60" w:type="dxa"/>
              <w:left w:w="100" w:type="dxa"/>
              <w:bottom w:w="60" w:type="dxa"/>
              <w:right w:w="100" w:type="dxa"/>
            </w:tcMar>
            <w:hideMark/>
          </w:tcPr>
          <w:p w14:paraId="7D8AF6C0" w14:textId="77777777" w:rsidR="008E5A22" w:rsidRDefault="008E5A22">
            <w:pPr>
              <w:spacing w:before="120" w:after="200"/>
              <w:rPr>
                <w:rFonts w:ascii="Arial" w:eastAsia="Times New Roman" w:hAnsi="Arial" w:cs="Arial"/>
                <w:b/>
                <w:bCs/>
                <w:sz w:val="19"/>
                <w:szCs w:val="19"/>
              </w:rPr>
            </w:pPr>
            <w:r>
              <w:rPr>
                <w:rFonts w:ascii="Arial" w:eastAsia="Times New Roman" w:hAnsi="Arial" w:cs="Arial"/>
                <w:b/>
                <w:bCs/>
                <w:sz w:val="19"/>
                <w:szCs w:val="19"/>
              </w:rPr>
              <w:t>Q2</w:t>
            </w:r>
          </w:p>
        </w:tc>
        <w:tc>
          <w:tcPr>
            <w:tcW w:w="0" w:type="auto"/>
            <w:tcBorders>
              <w:top w:val="single" w:sz="6" w:space="0" w:color="999999"/>
              <w:left w:val="single" w:sz="6" w:space="0" w:color="999999"/>
              <w:bottom w:val="single" w:sz="6" w:space="0" w:color="999999"/>
              <w:right w:val="single" w:sz="6" w:space="0" w:color="999999"/>
            </w:tcBorders>
            <w:shd w:val="clear" w:color="auto" w:fill="E7F0EA"/>
            <w:tcMar>
              <w:top w:w="60" w:type="dxa"/>
              <w:left w:w="100" w:type="dxa"/>
              <w:bottom w:w="60" w:type="dxa"/>
              <w:right w:w="100" w:type="dxa"/>
            </w:tcMar>
            <w:hideMark/>
          </w:tcPr>
          <w:p w14:paraId="57292A8B" w14:textId="77777777" w:rsidR="008E5A22" w:rsidRDefault="008E5A22">
            <w:pPr>
              <w:spacing w:before="120" w:after="200"/>
              <w:rPr>
                <w:rFonts w:ascii="Arial" w:eastAsia="Times New Roman" w:hAnsi="Arial" w:cs="Arial"/>
                <w:b/>
                <w:bCs/>
                <w:sz w:val="19"/>
                <w:szCs w:val="19"/>
              </w:rPr>
            </w:pPr>
            <w:r>
              <w:rPr>
                <w:rFonts w:ascii="Arial" w:eastAsia="Times New Roman" w:hAnsi="Arial" w:cs="Arial"/>
                <w:b/>
                <w:bCs/>
                <w:sz w:val="19"/>
                <w:szCs w:val="19"/>
              </w:rPr>
              <w:t>Q3</w:t>
            </w:r>
          </w:p>
        </w:tc>
        <w:tc>
          <w:tcPr>
            <w:tcW w:w="0" w:type="auto"/>
            <w:tcBorders>
              <w:top w:val="single" w:sz="6" w:space="0" w:color="999999"/>
              <w:left w:val="single" w:sz="6" w:space="0" w:color="999999"/>
              <w:bottom w:val="single" w:sz="6" w:space="0" w:color="999999"/>
              <w:right w:val="single" w:sz="6" w:space="0" w:color="999999"/>
            </w:tcBorders>
            <w:shd w:val="clear" w:color="auto" w:fill="E7F0EA"/>
            <w:tcMar>
              <w:top w:w="60" w:type="dxa"/>
              <w:left w:w="100" w:type="dxa"/>
              <w:bottom w:w="60" w:type="dxa"/>
              <w:right w:w="100" w:type="dxa"/>
            </w:tcMar>
            <w:hideMark/>
          </w:tcPr>
          <w:p w14:paraId="61520E01" w14:textId="77777777" w:rsidR="008E5A22" w:rsidRDefault="008E5A22">
            <w:pPr>
              <w:spacing w:before="120" w:after="200"/>
              <w:rPr>
                <w:rFonts w:ascii="Arial" w:eastAsia="Times New Roman" w:hAnsi="Arial" w:cs="Arial"/>
                <w:b/>
                <w:bCs/>
                <w:sz w:val="19"/>
                <w:szCs w:val="19"/>
              </w:rPr>
            </w:pPr>
            <w:r>
              <w:rPr>
                <w:rFonts w:ascii="Arial" w:eastAsia="Times New Roman" w:hAnsi="Arial" w:cs="Arial"/>
                <w:b/>
                <w:bCs/>
                <w:sz w:val="19"/>
                <w:szCs w:val="19"/>
              </w:rPr>
              <w:t>Q4</w:t>
            </w:r>
          </w:p>
        </w:tc>
        <w:tc>
          <w:tcPr>
            <w:tcW w:w="0" w:type="auto"/>
            <w:tcBorders>
              <w:top w:val="single" w:sz="6" w:space="0" w:color="999999"/>
              <w:left w:val="single" w:sz="6" w:space="0" w:color="999999"/>
              <w:bottom w:val="single" w:sz="6" w:space="0" w:color="999999"/>
              <w:right w:val="single" w:sz="6" w:space="0" w:color="999999"/>
            </w:tcBorders>
            <w:shd w:val="clear" w:color="auto" w:fill="E7F0EA"/>
            <w:tcMar>
              <w:top w:w="60" w:type="dxa"/>
              <w:left w:w="100" w:type="dxa"/>
              <w:bottom w:w="60" w:type="dxa"/>
              <w:right w:w="100" w:type="dxa"/>
            </w:tcMar>
            <w:hideMark/>
          </w:tcPr>
          <w:p w14:paraId="23F031B4" w14:textId="77777777" w:rsidR="008E5A22" w:rsidRDefault="008E5A22">
            <w:pPr>
              <w:spacing w:before="120" w:after="200"/>
              <w:rPr>
                <w:rFonts w:ascii="Arial" w:eastAsia="Times New Roman" w:hAnsi="Arial" w:cs="Arial"/>
                <w:b/>
                <w:bCs/>
                <w:sz w:val="19"/>
                <w:szCs w:val="19"/>
              </w:rPr>
            </w:pPr>
            <w:r>
              <w:rPr>
                <w:rFonts w:ascii="Arial" w:eastAsia="Times New Roman" w:hAnsi="Arial" w:cs="Arial"/>
                <w:b/>
                <w:bCs/>
                <w:sz w:val="19"/>
                <w:szCs w:val="19"/>
              </w:rPr>
              <w:t>Q5</w:t>
            </w:r>
          </w:p>
        </w:tc>
        <w:tc>
          <w:tcPr>
            <w:tcW w:w="0" w:type="auto"/>
            <w:tcBorders>
              <w:top w:val="single" w:sz="6" w:space="0" w:color="999999"/>
              <w:left w:val="single" w:sz="6" w:space="0" w:color="999999"/>
              <w:bottom w:val="single" w:sz="6" w:space="0" w:color="999999"/>
              <w:right w:val="single" w:sz="6" w:space="0" w:color="999999"/>
            </w:tcBorders>
            <w:shd w:val="clear" w:color="auto" w:fill="E7F0EA"/>
            <w:tcMar>
              <w:top w:w="60" w:type="dxa"/>
              <w:left w:w="100" w:type="dxa"/>
              <w:bottom w:w="60" w:type="dxa"/>
              <w:right w:w="100" w:type="dxa"/>
            </w:tcMar>
            <w:hideMark/>
          </w:tcPr>
          <w:p w14:paraId="50AF8B19" w14:textId="77777777" w:rsidR="008E5A22" w:rsidRDefault="008E5A22">
            <w:pPr>
              <w:spacing w:before="120" w:after="200"/>
              <w:rPr>
                <w:rFonts w:ascii="Arial" w:eastAsia="Times New Roman" w:hAnsi="Arial" w:cs="Arial"/>
                <w:b/>
                <w:bCs/>
                <w:sz w:val="19"/>
                <w:szCs w:val="19"/>
              </w:rPr>
            </w:pPr>
            <w:r>
              <w:rPr>
                <w:rFonts w:ascii="Arial" w:eastAsia="Times New Roman" w:hAnsi="Arial" w:cs="Arial"/>
                <w:b/>
                <w:bCs/>
                <w:sz w:val="19"/>
                <w:szCs w:val="19"/>
              </w:rPr>
              <w:t>Q6</w:t>
            </w:r>
          </w:p>
        </w:tc>
        <w:tc>
          <w:tcPr>
            <w:tcW w:w="0" w:type="auto"/>
            <w:tcBorders>
              <w:top w:val="single" w:sz="6" w:space="0" w:color="999999"/>
              <w:left w:val="single" w:sz="6" w:space="0" w:color="999999"/>
              <w:bottom w:val="single" w:sz="6" w:space="0" w:color="999999"/>
              <w:right w:val="single" w:sz="6" w:space="0" w:color="999999"/>
            </w:tcBorders>
            <w:shd w:val="clear" w:color="auto" w:fill="E7F0EA"/>
            <w:tcMar>
              <w:top w:w="60" w:type="dxa"/>
              <w:left w:w="100" w:type="dxa"/>
              <w:bottom w:w="60" w:type="dxa"/>
              <w:right w:w="100" w:type="dxa"/>
            </w:tcMar>
            <w:hideMark/>
          </w:tcPr>
          <w:p w14:paraId="79782D92" w14:textId="77777777" w:rsidR="008E5A22" w:rsidRDefault="008E5A22">
            <w:pPr>
              <w:spacing w:before="120" w:after="200"/>
              <w:rPr>
                <w:rFonts w:ascii="Arial" w:eastAsia="Times New Roman" w:hAnsi="Arial" w:cs="Arial"/>
                <w:b/>
                <w:bCs/>
                <w:sz w:val="19"/>
                <w:szCs w:val="19"/>
              </w:rPr>
            </w:pPr>
            <w:r>
              <w:rPr>
                <w:rFonts w:ascii="Arial" w:eastAsia="Times New Roman" w:hAnsi="Arial" w:cs="Arial"/>
                <w:b/>
                <w:bCs/>
                <w:sz w:val="19"/>
                <w:szCs w:val="19"/>
              </w:rPr>
              <w:t>Q7</w:t>
            </w:r>
          </w:p>
        </w:tc>
        <w:tc>
          <w:tcPr>
            <w:tcW w:w="0" w:type="auto"/>
            <w:tcBorders>
              <w:top w:val="single" w:sz="6" w:space="0" w:color="999999"/>
              <w:left w:val="single" w:sz="6" w:space="0" w:color="999999"/>
              <w:bottom w:val="single" w:sz="6" w:space="0" w:color="999999"/>
              <w:right w:val="single" w:sz="6" w:space="0" w:color="999999"/>
            </w:tcBorders>
            <w:shd w:val="clear" w:color="auto" w:fill="E7F0EA"/>
            <w:tcMar>
              <w:top w:w="60" w:type="dxa"/>
              <w:left w:w="100" w:type="dxa"/>
              <w:bottom w:w="60" w:type="dxa"/>
              <w:right w:w="100" w:type="dxa"/>
            </w:tcMar>
            <w:hideMark/>
          </w:tcPr>
          <w:p w14:paraId="12794509" w14:textId="77777777" w:rsidR="008E5A22" w:rsidRDefault="008E5A22">
            <w:pPr>
              <w:spacing w:before="120" w:after="200"/>
              <w:rPr>
                <w:rFonts w:ascii="Arial" w:eastAsia="Times New Roman" w:hAnsi="Arial" w:cs="Arial"/>
                <w:b/>
                <w:bCs/>
                <w:sz w:val="19"/>
                <w:szCs w:val="19"/>
              </w:rPr>
            </w:pPr>
            <w:r>
              <w:rPr>
                <w:rFonts w:ascii="Arial" w:eastAsia="Times New Roman" w:hAnsi="Arial" w:cs="Arial"/>
                <w:b/>
                <w:bCs/>
                <w:sz w:val="19"/>
                <w:szCs w:val="19"/>
              </w:rPr>
              <w:t>Q8</w:t>
            </w:r>
          </w:p>
        </w:tc>
      </w:tr>
      <w:tr w:rsidR="00C50C01" w14:paraId="760651FC" w14:textId="77777777">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08E37DAF" w14:textId="77777777" w:rsidR="008E5A22" w:rsidRDefault="008E5A22">
            <w:pPr>
              <w:spacing w:before="120" w:after="200"/>
              <w:rPr>
                <w:rFonts w:ascii="Arial" w:eastAsia="Times New Roman" w:hAnsi="Arial" w:cs="Arial"/>
                <w:sz w:val="19"/>
                <w:szCs w:val="19"/>
              </w:rPr>
            </w:pPr>
            <w:r>
              <w:rPr>
                <w:rFonts w:ascii="Arial" w:eastAsia="Times New Roman" w:hAnsi="Arial" w:cs="Arial"/>
                <w:sz w:val="19"/>
                <w:szCs w:val="19"/>
              </w:rPr>
              <w:t>WP1 Synthesis + XAS descriptors</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1A5955E7" w14:textId="77777777" w:rsidR="008E5A22" w:rsidRDefault="008E5A22">
            <w:pPr>
              <w:spacing w:before="120" w:after="200"/>
              <w:jc w:val="center"/>
              <w:rPr>
                <w:rFonts w:ascii="Arial" w:eastAsia="Times New Roman" w:hAnsi="Arial" w:cs="Arial"/>
                <w:sz w:val="19"/>
                <w:szCs w:val="19"/>
              </w:rPr>
            </w:pPr>
            <w:r>
              <w:rPr>
                <w:rFonts w:ascii="Arial" w:eastAsia="Times New Roman" w:hAnsi="Arial" w:cs="Arial"/>
                <w:sz w:val="19"/>
                <w:szCs w:val="19"/>
              </w:rPr>
              <w:t>■</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704142A7" w14:textId="77777777" w:rsidR="008E5A22" w:rsidRDefault="008E5A22">
            <w:pPr>
              <w:spacing w:before="120" w:after="200"/>
              <w:jc w:val="center"/>
              <w:rPr>
                <w:rFonts w:ascii="Arial" w:eastAsia="Times New Roman" w:hAnsi="Arial" w:cs="Arial"/>
                <w:sz w:val="19"/>
                <w:szCs w:val="19"/>
              </w:rPr>
            </w:pPr>
            <w:r>
              <w:rPr>
                <w:rFonts w:ascii="Arial" w:eastAsia="Times New Roman" w:hAnsi="Arial" w:cs="Arial"/>
                <w:sz w:val="19"/>
                <w:szCs w:val="19"/>
              </w:rPr>
              <w:t>■</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12A6E24D" w14:textId="77777777" w:rsidR="008E5A22" w:rsidRDefault="008E5A22">
            <w:pPr>
              <w:spacing w:before="120" w:after="200"/>
              <w:jc w:val="center"/>
              <w:rPr>
                <w:rFonts w:ascii="Arial" w:eastAsia="Times New Roman" w:hAnsi="Arial" w:cs="Arial"/>
                <w:sz w:val="19"/>
                <w:szCs w:val="19"/>
              </w:rPr>
            </w:pPr>
            <w:r>
              <w:rPr>
                <w:rFonts w:ascii="Arial" w:eastAsia="Times New Roman" w:hAnsi="Arial" w:cs="Arial"/>
                <w:sz w:val="19"/>
                <w:szCs w:val="19"/>
              </w:rPr>
              <w:t>■</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27447186" w14:textId="77777777" w:rsidR="008E5A22" w:rsidRDefault="008E5A22">
            <w:pPr>
              <w:spacing w:before="120" w:after="200"/>
              <w:jc w:val="center"/>
              <w:rPr>
                <w:rFonts w:ascii="Arial" w:eastAsia="Times New Roman" w:hAnsi="Arial" w:cs="Arial"/>
                <w:sz w:val="19"/>
                <w:szCs w:val="19"/>
              </w:rPr>
            </w:pPr>
            <w:r>
              <w:rPr>
                <w:rFonts w:ascii="Arial" w:eastAsia="Times New Roman" w:hAnsi="Arial" w:cs="Arial"/>
                <w:sz w:val="19"/>
                <w:szCs w:val="19"/>
              </w:rPr>
              <w:t>(■)</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07C3FB73" w14:textId="77777777" w:rsidR="008E5A22" w:rsidRDefault="008E5A22">
            <w:pPr>
              <w:spacing w:before="120" w:after="200"/>
              <w:jc w:val="center"/>
              <w:rPr>
                <w:rFonts w:ascii="Arial" w:eastAsia="Times New Roman" w:hAnsi="Arial" w:cs="Arial"/>
                <w:sz w:val="19"/>
                <w:szCs w:val="19"/>
              </w:rPr>
            </w:pP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04920F1F" w14:textId="77777777" w:rsidR="008E5A22" w:rsidRDefault="008E5A22">
            <w:pPr>
              <w:spacing w:before="120" w:after="200"/>
              <w:jc w:val="center"/>
              <w:rPr>
                <w:rFonts w:eastAsia="Times New Roman"/>
                <w:sz w:val="20"/>
                <w:szCs w:val="20"/>
              </w:rPr>
            </w:pP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725ACF68" w14:textId="77777777" w:rsidR="008E5A22" w:rsidRDefault="008E5A22">
            <w:pPr>
              <w:spacing w:before="120" w:after="200"/>
              <w:jc w:val="center"/>
              <w:rPr>
                <w:rFonts w:eastAsia="Times New Roman"/>
                <w:sz w:val="20"/>
                <w:szCs w:val="20"/>
              </w:rPr>
            </w:pP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20D3BCFF" w14:textId="77777777" w:rsidR="008E5A22" w:rsidRDefault="008E5A22">
            <w:pPr>
              <w:spacing w:before="120" w:after="200"/>
              <w:jc w:val="center"/>
              <w:rPr>
                <w:rFonts w:eastAsia="Times New Roman"/>
                <w:sz w:val="20"/>
                <w:szCs w:val="20"/>
              </w:rPr>
            </w:pPr>
          </w:p>
        </w:tc>
      </w:tr>
      <w:tr w:rsidR="00C50C01" w14:paraId="792BD288" w14:textId="77777777">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6B841818" w14:textId="77777777" w:rsidR="008E5A22" w:rsidRDefault="008E5A22">
            <w:pPr>
              <w:spacing w:before="120" w:after="200"/>
              <w:rPr>
                <w:rFonts w:ascii="Arial" w:eastAsia="Times New Roman" w:hAnsi="Arial" w:cs="Arial"/>
                <w:sz w:val="19"/>
                <w:szCs w:val="19"/>
              </w:rPr>
            </w:pPr>
            <w:r>
              <w:rPr>
                <w:rFonts w:ascii="Arial" w:eastAsia="Times New Roman" w:hAnsi="Arial" w:cs="Arial"/>
                <w:sz w:val="19"/>
                <w:szCs w:val="19"/>
              </w:rPr>
              <w:t>WP2 Devices + switching statistics</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459D521F" w14:textId="77777777" w:rsidR="008E5A22" w:rsidRDefault="008E5A22">
            <w:pPr>
              <w:spacing w:before="120" w:after="200"/>
              <w:rPr>
                <w:rFonts w:ascii="Arial" w:eastAsia="Times New Roman" w:hAnsi="Arial" w:cs="Arial"/>
                <w:sz w:val="19"/>
                <w:szCs w:val="19"/>
              </w:rPr>
            </w:pP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3F643D6A" w14:textId="77777777" w:rsidR="008E5A22" w:rsidRDefault="008E5A22">
            <w:pPr>
              <w:spacing w:before="120" w:after="200"/>
              <w:jc w:val="center"/>
              <w:rPr>
                <w:rFonts w:eastAsia="Times New Roman"/>
                <w:sz w:val="20"/>
                <w:szCs w:val="20"/>
              </w:rPr>
            </w:pP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0394D04C" w14:textId="77777777" w:rsidR="008E5A22" w:rsidRDefault="008E5A22">
            <w:pPr>
              <w:spacing w:before="120" w:after="200"/>
              <w:jc w:val="center"/>
              <w:rPr>
                <w:rFonts w:ascii="Arial" w:eastAsia="Times New Roman" w:hAnsi="Arial" w:cs="Arial"/>
                <w:sz w:val="19"/>
                <w:szCs w:val="19"/>
              </w:rPr>
            </w:pPr>
            <w:r>
              <w:rPr>
                <w:rFonts w:ascii="Arial" w:eastAsia="Times New Roman" w:hAnsi="Arial" w:cs="Arial"/>
                <w:sz w:val="19"/>
                <w:szCs w:val="19"/>
              </w:rPr>
              <w:t>■</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7F079D57" w14:textId="77777777" w:rsidR="008E5A22" w:rsidRDefault="008E5A22">
            <w:pPr>
              <w:spacing w:before="120" w:after="200"/>
              <w:jc w:val="center"/>
              <w:rPr>
                <w:rFonts w:ascii="Arial" w:eastAsia="Times New Roman" w:hAnsi="Arial" w:cs="Arial"/>
                <w:sz w:val="19"/>
                <w:szCs w:val="19"/>
              </w:rPr>
            </w:pPr>
            <w:r>
              <w:rPr>
                <w:rFonts w:ascii="Arial" w:eastAsia="Times New Roman" w:hAnsi="Arial" w:cs="Arial"/>
                <w:sz w:val="19"/>
                <w:szCs w:val="19"/>
              </w:rPr>
              <w:t>■</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622C197A" w14:textId="77777777" w:rsidR="008E5A22" w:rsidRDefault="008E5A22">
            <w:pPr>
              <w:spacing w:before="120" w:after="200"/>
              <w:jc w:val="center"/>
              <w:rPr>
                <w:rFonts w:ascii="Arial" w:eastAsia="Times New Roman" w:hAnsi="Arial" w:cs="Arial"/>
                <w:sz w:val="19"/>
                <w:szCs w:val="19"/>
              </w:rPr>
            </w:pPr>
            <w:r>
              <w:rPr>
                <w:rFonts w:ascii="Arial" w:eastAsia="Times New Roman" w:hAnsi="Arial" w:cs="Arial"/>
                <w:sz w:val="19"/>
                <w:szCs w:val="19"/>
              </w:rPr>
              <w:t>■</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50DA355C" w14:textId="77777777" w:rsidR="008E5A22" w:rsidRDefault="008E5A22">
            <w:pPr>
              <w:spacing w:before="120" w:after="200"/>
              <w:jc w:val="center"/>
              <w:rPr>
                <w:rFonts w:ascii="Arial" w:eastAsia="Times New Roman" w:hAnsi="Arial" w:cs="Arial"/>
                <w:sz w:val="19"/>
                <w:szCs w:val="19"/>
              </w:rPr>
            </w:pPr>
            <w:r>
              <w:rPr>
                <w:rFonts w:ascii="Arial" w:eastAsia="Times New Roman" w:hAnsi="Arial" w:cs="Arial"/>
                <w:sz w:val="19"/>
                <w:szCs w:val="19"/>
              </w:rPr>
              <w:t>■</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5E3DF4AB" w14:textId="77777777" w:rsidR="008E5A22" w:rsidRDefault="008E5A22">
            <w:pPr>
              <w:spacing w:before="120" w:after="200"/>
              <w:jc w:val="center"/>
              <w:rPr>
                <w:rFonts w:ascii="Arial" w:eastAsia="Times New Roman" w:hAnsi="Arial" w:cs="Arial"/>
                <w:sz w:val="19"/>
                <w:szCs w:val="19"/>
              </w:rPr>
            </w:pP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09E033B1" w14:textId="77777777" w:rsidR="008E5A22" w:rsidRDefault="008E5A22">
            <w:pPr>
              <w:spacing w:before="120" w:after="200"/>
              <w:jc w:val="center"/>
              <w:rPr>
                <w:rFonts w:eastAsia="Times New Roman"/>
                <w:sz w:val="20"/>
                <w:szCs w:val="20"/>
              </w:rPr>
            </w:pPr>
          </w:p>
        </w:tc>
      </w:tr>
      <w:tr w:rsidR="00C50C01" w14:paraId="31A08DB6" w14:textId="77777777">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2138A551" w14:textId="77777777" w:rsidR="008E5A22" w:rsidRDefault="008E5A22">
            <w:pPr>
              <w:spacing w:before="120" w:after="200"/>
              <w:rPr>
                <w:rFonts w:ascii="Arial" w:eastAsia="Times New Roman" w:hAnsi="Arial" w:cs="Arial"/>
                <w:sz w:val="19"/>
                <w:szCs w:val="19"/>
              </w:rPr>
            </w:pPr>
            <w:r>
              <w:rPr>
                <w:rFonts w:ascii="Arial" w:eastAsia="Times New Roman" w:hAnsi="Arial" w:cs="Arial"/>
                <w:sz w:val="19"/>
                <w:szCs w:val="19"/>
              </w:rPr>
              <w:t>WP3 Correlation + operando + publication</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152ADC49" w14:textId="77777777" w:rsidR="008E5A22" w:rsidRDefault="008E5A22">
            <w:pPr>
              <w:spacing w:before="120" w:after="200"/>
              <w:rPr>
                <w:rFonts w:ascii="Arial" w:eastAsia="Times New Roman" w:hAnsi="Arial" w:cs="Arial"/>
                <w:sz w:val="19"/>
                <w:szCs w:val="19"/>
              </w:rPr>
            </w:pP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2851976A" w14:textId="77777777" w:rsidR="008E5A22" w:rsidRDefault="008E5A22">
            <w:pPr>
              <w:spacing w:before="120" w:after="200"/>
              <w:jc w:val="center"/>
              <w:rPr>
                <w:rFonts w:eastAsia="Times New Roman"/>
                <w:sz w:val="20"/>
                <w:szCs w:val="20"/>
              </w:rPr>
            </w:pP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5D2A8E81" w14:textId="77777777" w:rsidR="008E5A22" w:rsidRDefault="008E5A22">
            <w:pPr>
              <w:spacing w:before="120" w:after="200"/>
              <w:jc w:val="center"/>
              <w:rPr>
                <w:rFonts w:eastAsia="Times New Roman"/>
                <w:sz w:val="20"/>
                <w:szCs w:val="20"/>
              </w:rPr>
            </w:pP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44A9D244" w14:textId="77777777" w:rsidR="008E5A22" w:rsidRDefault="008E5A22">
            <w:pPr>
              <w:spacing w:before="120" w:after="200"/>
              <w:jc w:val="center"/>
              <w:rPr>
                <w:rFonts w:eastAsia="Times New Roman"/>
                <w:sz w:val="20"/>
                <w:szCs w:val="20"/>
              </w:rPr>
            </w:pP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41F447A8" w14:textId="77777777" w:rsidR="008E5A22" w:rsidRDefault="008E5A22">
            <w:pPr>
              <w:spacing w:before="120" w:after="200"/>
              <w:jc w:val="center"/>
              <w:rPr>
                <w:rFonts w:eastAsia="Times New Roman"/>
                <w:sz w:val="20"/>
                <w:szCs w:val="20"/>
              </w:rPr>
            </w:pP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536DC069" w14:textId="77777777" w:rsidR="008E5A22" w:rsidRDefault="008E5A22">
            <w:pPr>
              <w:spacing w:before="120" w:after="200"/>
              <w:jc w:val="center"/>
              <w:rPr>
                <w:rFonts w:ascii="Arial" w:eastAsia="Times New Roman" w:hAnsi="Arial" w:cs="Arial"/>
                <w:sz w:val="19"/>
                <w:szCs w:val="19"/>
              </w:rPr>
            </w:pPr>
            <w:r>
              <w:rPr>
                <w:rFonts w:ascii="Arial" w:eastAsia="Times New Roman" w:hAnsi="Arial" w:cs="Arial"/>
                <w:sz w:val="19"/>
                <w:szCs w:val="19"/>
              </w:rPr>
              <w:t>■</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347B67D1" w14:textId="77777777" w:rsidR="008E5A22" w:rsidRDefault="008E5A22">
            <w:pPr>
              <w:spacing w:before="120" w:after="200"/>
              <w:jc w:val="center"/>
              <w:rPr>
                <w:rFonts w:ascii="Arial" w:eastAsia="Times New Roman" w:hAnsi="Arial" w:cs="Arial"/>
                <w:sz w:val="19"/>
                <w:szCs w:val="19"/>
              </w:rPr>
            </w:pPr>
            <w:r>
              <w:rPr>
                <w:rFonts w:ascii="Arial" w:eastAsia="Times New Roman" w:hAnsi="Arial" w:cs="Arial"/>
                <w:sz w:val="19"/>
                <w:szCs w:val="19"/>
              </w:rPr>
              <w:t>■</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7D4A9770" w14:textId="77777777" w:rsidR="008E5A22" w:rsidRDefault="008E5A22">
            <w:pPr>
              <w:spacing w:before="120" w:after="200"/>
              <w:jc w:val="center"/>
              <w:rPr>
                <w:rFonts w:ascii="Arial" w:eastAsia="Times New Roman" w:hAnsi="Arial" w:cs="Arial"/>
                <w:sz w:val="19"/>
                <w:szCs w:val="19"/>
              </w:rPr>
            </w:pPr>
            <w:r>
              <w:rPr>
                <w:rFonts w:ascii="Arial" w:eastAsia="Times New Roman" w:hAnsi="Arial" w:cs="Arial"/>
                <w:sz w:val="19"/>
                <w:szCs w:val="19"/>
              </w:rPr>
              <w:t>■</w:t>
            </w:r>
          </w:p>
        </w:tc>
      </w:tr>
    </w:tbl>
    <w:p w14:paraId="776959DA" w14:textId="77777777" w:rsidR="008E5A22" w:rsidRDefault="008E5A22">
      <w:pPr>
        <w:pStyle w:val="Heading2"/>
        <w:rPr>
          <w:rFonts w:ascii="Arial" w:eastAsia="Times New Roman" w:hAnsi="Arial" w:cs="Arial"/>
        </w:rPr>
      </w:pPr>
      <w:r>
        <w:rPr>
          <w:rFonts w:ascii="Arial" w:eastAsia="Times New Roman" w:hAnsi="Arial" w:cs="Arial"/>
        </w:rPr>
        <w:t>5  Career perspective and return strategy</w:t>
      </w:r>
    </w:p>
    <w:p w14:paraId="1FA8FF20" w14:textId="77777777" w:rsidR="008E5A22" w:rsidRDefault="008E5A22">
      <w:pPr>
        <w:pStyle w:val="NormalWeb"/>
        <w:rPr>
          <w:rFonts w:ascii="Arial" w:hAnsi="Arial" w:cs="Arial"/>
          <w:sz w:val="21"/>
          <w:szCs w:val="21"/>
        </w:rPr>
      </w:pPr>
      <w:r>
        <w:rPr>
          <w:rFonts w:ascii="Arial" w:hAnsi="Arial" w:cs="Arial"/>
          <w:sz w:val="21"/>
          <w:szCs w:val="21"/>
        </w:rPr>
        <w:t>The project is the deliberate building block between my doctorate (memristive devices, PLD, switching statistics) and my longer-term goal of establishing my own junior research group in Germany on descriptor-based materials development for memristive oxides (Emmy Noether proposal in preparation; ERC Starting Grant as an alternative). The stay with Prof. Chueh closes the one competence gap of my profile – quantitative synchrotron XAS and defect thermodynamics – and at the same time delivers the empirical foundation (the covalency-resolved PCMO dataset) for the larger programme of a “treasure map” of memristive oxides in analogy to the bonding-descriptor maps of Wuttig et al. [21]. The choice of the mechanism-stable PCMO family for this fellowship is deliberate: it de-risks the descriptor methodology on the cleanest possible system; the subsequent group programme then scales it to the ferrite and cobaltite families, where topotactic phase transitions are no longer a confounder but become chartable mechanism boundaries on the map. The return is concretely planned: reintegration into the German oxide-electronics environment (FZ Jülich/RWTH Aachen, JARA), supported by the Feodor Lynen Return Fellowship, with submission of the group proposal during the final year of the stay. The Stanford/SSRL collaboration built up abroad will be continued as the transatlantic bridge of the future group.</w:t>
      </w:r>
    </w:p>
    <w:p w14:paraId="31503D13" w14:textId="77777777" w:rsidR="008E5A22" w:rsidRDefault="008E5A22">
      <w:pPr>
        <w:pStyle w:val="Heading2"/>
        <w:rPr>
          <w:rFonts w:ascii="Arial" w:eastAsia="Times New Roman" w:hAnsi="Arial" w:cs="Arial"/>
        </w:rPr>
      </w:pPr>
      <w:r>
        <w:rPr>
          <w:rFonts w:ascii="Arial" w:eastAsia="Times New Roman" w:hAnsi="Arial" w:cs="Arial"/>
        </w:rPr>
        <w:t>6  References</w:t>
      </w:r>
    </w:p>
    <w:p w14:paraId="6E43E28F" w14:textId="77777777" w:rsidR="008E5A22" w:rsidRDefault="008E5A22">
      <w:pPr>
        <w:spacing w:after="60"/>
        <w:ind w:hanging="480"/>
        <w:divId w:val="2073653082"/>
        <w:rPr>
          <w:rFonts w:ascii="Arial" w:hAnsi="Arial" w:cs="Arial"/>
          <w:sz w:val="18"/>
          <w:szCs w:val="18"/>
        </w:rPr>
      </w:pPr>
      <w:r>
        <w:rPr>
          <w:rFonts w:ascii="Arial" w:hAnsi="Arial" w:cs="Arial"/>
          <w:sz w:val="18"/>
          <w:szCs w:val="18"/>
        </w:rPr>
        <w:t>[1] R. Waser, M. Aono, Nanoionics-based resistive switching memories. Nature Materials 6, 833–840 (2007).</w:t>
      </w:r>
    </w:p>
    <w:p w14:paraId="3D576DED" w14:textId="77777777" w:rsidR="008E5A22" w:rsidRDefault="008E5A22">
      <w:pPr>
        <w:spacing w:after="60"/>
        <w:ind w:hanging="480"/>
        <w:divId w:val="2073653082"/>
        <w:rPr>
          <w:rFonts w:ascii="Arial" w:hAnsi="Arial" w:cs="Arial"/>
          <w:sz w:val="18"/>
          <w:szCs w:val="18"/>
        </w:rPr>
      </w:pPr>
      <w:r>
        <w:rPr>
          <w:rFonts w:ascii="Arial" w:hAnsi="Arial" w:cs="Arial"/>
          <w:sz w:val="18"/>
          <w:szCs w:val="18"/>
        </w:rPr>
        <w:t>[2] R. Waser, R. Dittmann, G. Staikov, K. Szot, Redox-Based Resistive Switching Memories – Nanoionic Mechanisms, Prospects, and Challenges. Advanced Materials 21, 2632–2663 (2009).</w:t>
      </w:r>
    </w:p>
    <w:p w14:paraId="5E20FF2D" w14:textId="77777777" w:rsidR="008E5A22" w:rsidRDefault="008E5A22">
      <w:pPr>
        <w:spacing w:after="60"/>
        <w:ind w:hanging="480"/>
        <w:divId w:val="2073653082"/>
        <w:rPr>
          <w:rFonts w:ascii="Arial" w:hAnsi="Arial" w:cs="Arial"/>
          <w:sz w:val="18"/>
          <w:szCs w:val="18"/>
        </w:rPr>
      </w:pPr>
      <w:r>
        <w:rPr>
          <w:rFonts w:ascii="Arial" w:hAnsi="Arial" w:cs="Arial"/>
          <w:sz w:val="18"/>
          <w:szCs w:val="18"/>
        </w:rPr>
        <w:t>[3] R. Dittmann, S. Menzel, R. Waser, Nanoionic memristive phenomena in metal oxides: the valence change mechanism. Advances in Physics 70, 155–349 (2021).</w:t>
      </w:r>
    </w:p>
    <w:p w14:paraId="32EA58A2" w14:textId="77777777" w:rsidR="008E5A22" w:rsidRDefault="008E5A22">
      <w:pPr>
        <w:spacing w:after="60"/>
        <w:ind w:hanging="480"/>
        <w:divId w:val="2073653082"/>
        <w:rPr>
          <w:rFonts w:ascii="Arial" w:hAnsi="Arial" w:cs="Arial"/>
          <w:sz w:val="18"/>
          <w:szCs w:val="18"/>
        </w:rPr>
      </w:pPr>
      <w:r>
        <w:rPr>
          <w:rFonts w:ascii="Arial" w:hAnsi="Arial" w:cs="Arial"/>
          <w:sz w:val="18"/>
          <w:szCs w:val="18"/>
        </w:rPr>
        <w:t>[4] S. Menzel, M. Waters, A. Marchewka, U. Böttger, R. Dittmann, R. Waser, Origin of the Ultra-nonlinear Switching Kinetics in Oxide-Based Resistive Switches. Advanced Functional Materials 21, 4487–4492 (2011).</w:t>
      </w:r>
    </w:p>
    <w:p w14:paraId="63571F48" w14:textId="77777777" w:rsidR="008E5A22" w:rsidRDefault="008E5A22">
      <w:pPr>
        <w:spacing w:after="60"/>
        <w:ind w:hanging="480"/>
        <w:divId w:val="2073653082"/>
        <w:rPr>
          <w:rFonts w:ascii="Arial" w:hAnsi="Arial" w:cs="Arial"/>
          <w:sz w:val="18"/>
          <w:szCs w:val="18"/>
        </w:rPr>
      </w:pPr>
      <w:r>
        <w:rPr>
          <w:rFonts w:ascii="Arial" w:hAnsi="Arial" w:cs="Arial"/>
          <w:sz w:val="18"/>
          <w:szCs w:val="18"/>
        </w:rPr>
        <w:t>[5] Y.-L. Lee, J. Kleis, J. Rossmeisl, Y. Shao-Horn, D. Morgan, Prediction of solid oxide fuel cell cathode activity with first-principles descriptors. Energy &amp; Environmental Science 4, 3966–3970 (2011).</w:t>
      </w:r>
    </w:p>
    <w:p w14:paraId="20580498" w14:textId="77777777" w:rsidR="008E5A22" w:rsidRDefault="008E5A22">
      <w:pPr>
        <w:spacing w:after="60"/>
        <w:ind w:hanging="480"/>
        <w:divId w:val="2073653082"/>
        <w:rPr>
          <w:rFonts w:ascii="Arial" w:hAnsi="Arial" w:cs="Arial"/>
          <w:sz w:val="18"/>
          <w:szCs w:val="18"/>
        </w:rPr>
      </w:pPr>
      <w:r>
        <w:rPr>
          <w:rFonts w:ascii="Arial" w:hAnsi="Arial" w:cs="Arial"/>
          <w:sz w:val="18"/>
          <w:szCs w:val="18"/>
        </w:rPr>
        <w:t>[6] R. Jacobs, J. Hwang, Y. Shao-Horn, D. Morgan, Assessing Correlations of Perovskite Catalytic Performance with Electronic Structure Descriptors. Chemistry of Materials 31, 785–797 (2019).</w:t>
      </w:r>
    </w:p>
    <w:p w14:paraId="6BB50339" w14:textId="77777777" w:rsidR="008E5A22" w:rsidRDefault="008E5A22">
      <w:pPr>
        <w:spacing w:after="60"/>
        <w:ind w:hanging="480"/>
        <w:divId w:val="2073653082"/>
        <w:rPr>
          <w:rFonts w:ascii="Arial" w:hAnsi="Arial" w:cs="Arial"/>
          <w:sz w:val="18"/>
          <w:szCs w:val="18"/>
        </w:rPr>
      </w:pPr>
      <w:r>
        <w:rPr>
          <w:rFonts w:ascii="Arial" w:hAnsi="Arial" w:cs="Arial"/>
          <w:sz w:val="18"/>
          <w:szCs w:val="18"/>
        </w:rPr>
        <w:t>[7] A. M. Deml, V. Stevanović, C. L. Muhich, C. B. Musgrave, R. O’Hayre, Oxide enthalpy of formation and band gap energy as accurate descriptors of oxygen vacancy formation energetics. Energy &amp; Environmental Science 7, 1996–2004 (2014).</w:t>
      </w:r>
    </w:p>
    <w:p w14:paraId="1A4990E7" w14:textId="77777777" w:rsidR="008E5A22" w:rsidRDefault="008E5A22">
      <w:pPr>
        <w:spacing w:after="60"/>
        <w:ind w:hanging="480"/>
        <w:divId w:val="2073653082"/>
        <w:rPr>
          <w:rFonts w:ascii="Arial" w:hAnsi="Arial" w:cs="Arial"/>
          <w:sz w:val="18"/>
          <w:szCs w:val="18"/>
        </w:rPr>
      </w:pPr>
      <w:r>
        <w:rPr>
          <w:rFonts w:ascii="Arial" w:hAnsi="Arial" w:cs="Arial"/>
          <w:sz w:val="18"/>
          <w:szCs w:val="18"/>
        </w:rPr>
        <w:t>[8] R. B. Wexler, G. Sai Gautam, E. B. Stechel, E. A. Carter, Factors Governing Oxygen Vacancy Formation in Oxide Perovskites. Journal of the American Chemical Society 143, 13212–13227 (2021).</w:t>
      </w:r>
    </w:p>
    <w:p w14:paraId="1348B6AD" w14:textId="00D7E6F7" w:rsidR="008E5A22" w:rsidRDefault="008E5A22">
      <w:pPr>
        <w:spacing w:after="60"/>
        <w:ind w:hanging="480"/>
        <w:divId w:val="2073653082"/>
        <w:rPr>
          <w:rFonts w:ascii="Arial" w:hAnsi="Arial" w:cs="Arial"/>
          <w:sz w:val="18"/>
          <w:szCs w:val="18"/>
        </w:rPr>
      </w:pPr>
      <w:r>
        <w:rPr>
          <w:rFonts w:ascii="Arial" w:hAnsi="Arial" w:cs="Arial"/>
          <w:sz w:val="18"/>
          <w:szCs w:val="18"/>
        </w:rPr>
        <w:t>[9] G. Lole, F. Ebrahimi, T. Meyer, D. Mierwaldt, V. Roddatis, J. Geppert, M. Risch, C. Jooss, Contrasting Pr</w:t>
      </w:r>
      <w:r>
        <w:rPr>
          <w:rFonts w:ascii="Arial" w:hAnsi="Arial" w:cs="Arial"/>
          <w:sz w:val="18"/>
          <w:szCs w:val="18"/>
          <w:vertAlign w:val="subscript"/>
        </w:rPr>
        <w:t>1-x</w:t>
      </w:r>
      <w:r>
        <w:rPr>
          <w:rFonts w:ascii="Arial" w:hAnsi="Arial" w:cs="Arial"/>
          <w:sz w:val="18"/>
          <w:szCs w:val="18"/>
        </w:rPr>
        <w:t>Ca</w:t>
      </w:r>
      <w:r>
        <w:rPr>
          <w:rFonts w:ascii="Arial" w:hAnsi="Arial" w:cs="Arial"/>
          <w:sz w:val="18"/>
          <w:szCs w:val="18"/>
          <w:vertAlign w:val="subscript"/>
        </w:rPr>
        <w:t>x</w:t>
      </w:r>
      <w:r>
        <w:rPr>
          <w:rFonts w:ascii="Arial" w:hAnsi="Arial" w:cs="Arial"/>
          <w:sz w:val="18"/>
          <w:szCs w:val="18"/>
        </w:rPr>
        <w:t>MnO</w:t>
      </w:r>
      <w:r>
        <w:rPr>
          <w:rFonts w:ascii="Arial" w:hAnsi="Arial" w:cs="Arial"/>
          <w:sz w:val="18"/>
          <w:szCs w:val="18"/>
          <w:vertAlign w:val="subscript"/>
        </w:rPr>
        <w:t>3</w:t>
      </w:r>
      <w:r>
        <w:rPr>
          <w:rFonts w:ascii="Arial" w:hAnsi="Arial" w:cs="Arial"/>
          <w:sz w:val="18"/>
          <w:szCs w:val="18"/>
        </w:rPr>
        <w:t xml:space="preserve"> OER Catalysts with Different Valences and Covalences. The Journal of Physical Chemistry C 127, 177-186 (2023), DOI 10.1021/acs.jpcc.2c05622.</w:t>
      </w:r>
    </w:p>
    <w:p w14:paraId="6794CCA2" w14:textId="77777777" w:rsidR="008E5A22" w:rsidRDefault="008E5A22">
      <w:pPr>
        <w:spacing w:after="60"/>
        <w:ind w:hanging="480"/>
        <w:divId w:val="2073653082"/>
        <w:rPr>
          <w:rFonts w:ascii="Arial" w:hAnsi="Arial" w:cs="Arial"/>
          <w:sz w:val="18"/>
          <w:szCs w:val="18"/>
        </w:rPr>
      </w:pPr>
      <w:r>
        <w:rPr>
          <w:rFonts w:ascii="Arial" w:hAnsi="Arial" w:cs="Arial"/>
          <w:sz w:val="18"/>
          <w:szCs w:val="18"/>
        </w:rPr>
        <w:t>[10] M. Abbate et al., Controlled-valence properties of La</w:t>
      </w:r>
      <w:r>
        <w:rPr>
          <w:rFonts w:ascii="Arial" w:hAnsi="Arial" w:cs="Arial"/>
          <w:sz w:val="18"/>
          <w:szCs w:val="18"/>
          <w:vertAlign w:val="subscript"/>
        </w:rPr>
        <w:t>1-x</w:t>
      </w:r>
      <w:r>
        <w:rPr>
          <w:rFonts w:ascii="Arial" w:hAnsi="Arial" w:cs="Arial"/>
          <w:sz w:val="18"/>
          <w:szCs w:val="18"/>
        </w:rPr>
        <w:t>Sr</w:t>
      </w:r>
      <w:r>
        <w:rPr>
          <w:rFonts w:ascii="Arial" w:hAnsi="Arial" w:cs="Arial"/>
          <w:sz w:val="18"/>
          <w:szCs w:val="18"/>
          <w:vertAlign w:val="subscript"/>
        </w:rPr>
        <w:t>x</w:t>
      </w:r>
      <w:r>
        <w:rPr>
          <w:rFonts w:ascii="Arial" w:hAnsi="Arial" w:cs="Arial"/>
          <w:sz w:val="18"/>
          <w:szCs w:val="18"/>
        </w:rPr>
        <w:t>FeO</w:t>
      </w:r>
      <w:r>
        <w:rPr>
          <w:rFonts w:ascii="Arial" w:hAnsi="Arial" w:cs="Arial"/>
          <w:sz w:val="18"/>
          <w:szCs w:val="18"/>
          <w:vertAlign w:val="subscript"/>
        </w:rPr>
        <w:t>3</w:t>
      </w:r>
      <w:r>
        <w:rPr>
          <w:rFonts w:ascii="Arial" w:hAnsi="Arial" w:cs="Arial"/>
          <w:sz w:val="18"/>
          <w:szCs w:val="18"/>
        </w:rPr>
        <w:t xml:space="preserve"> and La</w:t>
      </w:r>
      <w:r>
        <w:rPr>
          <w:rFonts w:ascii="Arial" w:hAnsi="Arial" w:cs="Arial"/>
          <w:sz w:val="18"/>
          <w:szCs w:val="18"/>
          <w:vertAlign w:val="subscript"/>
        </w:rPr>
        <w:t>1-x</w:t>
      </w:r>
      <w:r>
        <w:rPr>
          <w:rFonts w:ascii="Arial" w:hAnsi="Arial" w:cs="Arial"/>
          <w:sz w:val="18"/>
          <w:szCs w:val="18"/>
        </w:rPr>
        <w:t>Sr</w:t>
      </w:r>
      <w:r>
        <w:rPr>
          <w:rFonts w:ascii="Arial" w:hAnsi="Arial" w:cs="Arial"/>
          <w:sz w:val="18"/>
          <w:szCs w:val="18"/>
          <w:vertAlign w:val="subscript"/>
        </w:rPr>
        <w:t>x</w:t>
      </w:r>
      <w:r>
        <w:rPr>
          <w:rFonts w:ascii="Arial" w:hAnsi="Arial" w:cs="Arial"/>
          <w:sz w:val="18"/>
          <w:szCs w:val="18"/>
        </w:rPr>
        <w:t>MnO</w:t>
      </w:r>
      <w:r>
        <w:rPr>
          <w:rFonts w:ascii="Arial" w:hAnsi="Arial" w:cs="Arial"/>
          <w:sz w:val="18"/>
          <w:szCs w:val="18"/>
          <w:vertAlign w:val="subscript"/>
        </w:rPr>
        <w:t>3</w:t>
      </w:r>
      <w:r>
        <w:rPr>
          <w:rFonts w:ascii="Arial" w:hAnsi="Arial" w:cs="Arial"/>
          <w:sz w:val="18"/>
          <w:szCs w:val="18"/>
        </w:rPr>
        <w:t xml:space="preserve"> studied by soft-x-ray absorption spectroscopy. Physical Review B 46, 4511–4519 (1992).</w:t>
      </w:r>
    </w:p>
    <w:p w14:paraId="527B4F1F" w14:textId="77777777" w:rsidR="008E5A22" w:rsidRDefault="008E5A22">
      <w:pPr>
        <w:spacing w:after="60"/>
        <w:ind w:hanging="480"/>
        <w:divId w:val="2073653082"/>
        <w:rPr>
          <w:rFonts w:ascii="Arial" w:hAnsi="Arial" w:cs="Arial"/>
          <w:sz w:val="18"/>
          <w:szCs w:val="18"/>
        </w:rPr>
      </w:pPr>
      <w:r>
        <w:rPr>
          <w:rFonts w:ascii="Arial" w:hAnsi="Arial" w:cs="Arial"/>
          <w:sz w:val="18"/>
          <w:szCs w:val="18"/>
        </w:rPr>
        <w:t>[11] J. Suntivich et al., Estimating Hybridization of Transition Metal and Oxygen States in Perovskites from O K-edge X-ray Absorption Spectroscopy. Journal of Physical Chemistry C 118, 1856–1863 (2014).</w:t>
      </w:r>
    </w:p>
    <w:p w14:paraId="5F974428" w14:textId="77777777" w:rsidR="008E5A22" w:rsidRDefault="008E5A22">
      <w:pPr>
        <w:spacing w:after="60"/>
        <w:ind w:hanging="480"/>
        <w:divId w:val="2073653082"/>
        <w:rPr>
          <w:rFonts w:ascii="Arial" w:hAnsi="Arial" w:cs="Arial"/>
          <w:sz w:val="18"/>
          <w:szCs w:val="18"/>
        </w:rPr>
      </w:pPr>
      <w:r>
        <w:rPr>
          <w:rFonts w:ascii="Arial" w:hAnsi="Arial" w:cs="Arial"/>
          <w:sz w:val="18"/>
          <w:szCs w:val="18"/>
        </w:rPr>
        <w:t>[12] S. Q. Liu, N. J. Wu, A. Ignatiev, Electric-pulse-induced reversible resistance change effect in magnetoresistive films. Applied Physics Letters 76, 2749–2751 (2000).</w:t>
      </w:r>
    </w:p>
    <w:p w14:paraId="491EA1F3" w14:textId="77777777" w:rsidR="008E5A22" w:rsidRDefault="008E5A22">
      <w:pPr>
        <w:spacing w:after="60"/>
        <w:ind w:hanging="480"/>
        <w:divId w:val="2073653082"/>
        <w:rPr>
          <w:rFonts w:ascii="Arial" w:hAnsi="Arial" w:cs="Arial"/>
          <w:sz w:val="18"/>
          <w:szCs w:val="18"/>
        </w:rPr>
      </w:pPr>
      <w:r>
        <w:rPr>
          <w:rFonts w:ascii="Arial" w:hAnsi="Arial" w:cs="Arial"/>
          <w:sz w:val="18"/>
          <w:szCs w:val="18"/>
        </w:rPr>
        <w:t>[13] A. Sawa, T. Fujii, M. Kawasaki, Y. Tokura, Hysteretic current–voltage characteristics and resistance switching at a rectifying Ti/Pr</w:t>
      </w:r>
      <w:r>
        <w:rPr>
          <w:rFonts w:ascii="Arial" w:hAnsi="Arial" w:cs="Arial"/>
          <w:sz w:val="18"/>
          <w:szCs w:val="18"/>
          <w:vertAlign w:val="subscript"/>
        </w:rPr>
        <w:t>0.7</w:t>
      </w:r>
      <w:r>
        <w:rPr>
          <w:rFonts w:ascii="Arial" w:hAnsi="Arial" w:cs="Arial"/>
          <w:sz w:val="18"/>
          <w:szCs w:val="18"/>
        </w:rPr>
        <w:t>Ca</w:t>
      </w:r>
      <w:r>
        <w:rPr>
          <w:rFonts w:ascii="Arial" w:hAnsi="Arial" w:cs="Arial"/>
          <w:sz w:val="18"/>
          <w:szCs w:val="18"/>
          <w:vertAlign w:val="subscript"/>
        </w:rPr>
        <w:t>0.3</w:t>
      </w:r>
      <w:r>
        <w:rPr>
          <w:rFonts w:ascii="Arial" w:hAnsi="Arial" w:cs="Arial"/>
          <w:sz w:val="18"/>
          <w:szCs w:val="18"/>
        </w:rPr>
        <w:t>MnO</w:t>
      </w:r>
      <w:r>
        <w:rPr>
          <w:rFonts w:ascii="Arial" w:hAnsi="Arial" w:cs="Arial"/>
          <w:sz w:val="18"/>
          <w:szCs w:val="18"/>
          <w:vertAlign w:val="subscript"/>
        </w:rPr>
        <w:t>3</w:t>
      </w:r>
      <w:r>
        <w:rPr>
          <w:rFonts w:ascii="Arial" w:hAnsi="Arial" w:cs="Arial"/>
          <w:sz w:val="18"/>
          <w:szCs w:val="18"/>
        </w:rPr>
        <w:t xml:space="preserve"> interface. Applied Physics Letters 85, 4073–4075 (2004).</w:t>
      </w:r>
    </w:p>
    <w:p w14:paraId="3737C4F0" w14:textId="77777777" w:rsidR="008E5A22" w:rsidRDefault="008E5A22">
      <w:pPr>
        <w:spacing w:after="60"/>
        <w:ind w:hanging="480"/>
        <w:divId w:val="2073653082"/>
        <w:rPr>
          <w:rFonts w:ascii="Arial" w:hAnsi="Arial" w:cs="Arial"/>
          <w:sz w:val="18"/>
          <w:szCs w:val="18"/>
        </w:rPr>
      </w:pPr>
      <w:r>
        <w:rPr>
          <w:rFonts w:ascii="Arial" w:hAnsi="Arial" w:cs="Arial"/>
          <w:sz w:val="18"/>
          <w:szCs w:val="18"/>
        </w:rPr>
        <w:t>[14] A. Herpers, C. Lenser, C. Park, F. Offi, F. Borgatti, G. Panaccione, S. Menzel, R. Waser, R. Dittmann, Spectroscopic proof of the correlation between redox-state and charge-carrier transport at the interface of resistively switching Ti/PCMO devices. Advanced Materials 26, 2730–2735 (2014).</w:t>
      </w:r>
    </w:p>
    <w:p w14:paraId="718B06F9" w14:textId="77777777" w:rsidR="008E5A22" w:rsidRDefault="008E5A22">
      <w:pPr>
        <w:spacing w:after="60"/>
        <w:ind w:hanging="480"/>
        <w:divId w:val="2073653082"/>
        <w:rPr>
          <w:rFonts w:ascii="Arial" w:hAnsi="Arial" w:cs="Arial"/>
          <w:sz w:val="18"/>
          <w:szCs w:val="18"/>
        </w:rPr>
      </w:pPr>
      <w:r>
        <w:rPr>
          <w:rFonts w:ascii="Arial" w:hAnsi="Arial" w:cs="Arial"/>
          <w:sz w:val="18"/>
          <w:szCs w:val="18"/>
        </w:rPr>
        <w:t>[15] S. G. Choi, H.-S. Lee, H. Choi, S.-W. Chung, H.-H. Park, The effect of Sr concentration on resistive switching properties of La</w:t>
      </w:r>
      <w:r>
        <w:rPr>
          <w:rFonts w:ascii="Arial" w:hAnsi="Arial" w:cs="Arial"/>
          <w:sz w:val="18"/>
          <w:szCs w:val="18"/>
          <w:vertAlign w:val="subscript"/>
        </w:rPr>
        <w:t>1-x</w:t>
      </w:r>
      <w:r>
        <w:rPr>
          <w:rFonts w:ascii="Arial" w:hAnsi="Arial" w:cs="Arial"/>
          <w:sz w:val="18"/>
          <w:szCs w:val="18"/>
        </w:rPr>
        <w:t>Sr</w:t>
      </w:r>
      <w:r>
        <w:rPr>
          <w:rFonts w:ascii="Arial" w:hAnsi="Arial" w:cs="Arial"/>
          <w:sz w:val="18"/>
          <w:szCs w:val="18"/>
          <w:vertAlign w:val="subscript"/>
        </w:rPr>
        <w:t>x</w:t>
      </w:r>
      <w:r>
        <w:rPr>
          <w:rFonts w:ascii="Arial" w:hAnsi="Arial" w:cs="Arial"/>
          <w:sz w:val="18"/>
          <w:szCs w:val="18"/>
        </w:rPr>
        <w:t>MnO</w:t>
      </w:r>
      <w:r>
        <w:rPr>
          <w:rFonts w:ascii="Arial" w:hAnsi="Arial" w:cs="Arial"/>
          <w:sz w:val="18"/>
          <w:szCs w:val="18"/>
          <w:vertAlign w:val="subscript"/>
        </w:rPr>
        <w:t>3</w:t>
      </w:r>
      <w:r>
        <w:rPr>
          <w:rFonts w:ascii="Arial" w:hAnsi="Arial" w:cs="Arial"/>
          <w:sz w:val="18"/>
          <w:szCs w:val="18"/>
        </w:rPr>
        <w:t xml:space="preserve"> films. Thin Solid Films 529, 352–355 (2013).</w:t>
      </w:r>
    </w:p>
    <w:p w14:paraId="7D976BD9" w14:textId="77777777" w:rsidR="008E5A22" w:rsidRDefault="008E5A22">
      <w:pPr>
        <w:spacing w:after="60"/>
        <w:ind w:hanging="480"/>
        <w:divId w:val="2073653082"/>
        <w:rPr>
          <w:rFonts w:ascii="Arial" w:hAnsi="Arial" w:cs="Arial"/>
          <w:sz w:val="18"/>
          <w:szCs w:val="18"/>
        </w:rPr>
      </w:pPr>
      <w:r>
        <w:rPr>
          <w:rFonts w:ascii="Arial" w:hAnsi="Arial" w:cs="Arial"/>
          <w:sz w:val="18"/>
          <w:szCs w:val="18"/>
        </w:rPr>
        <w:t>[16] S. Asanuma, H. Akoh, H. Yamada, A. Sawa, Relationship between resistive switching characteristics and band diagrams of Ti/Pr</w:t>
      </w:r>
      <w:r>
        <w:rPr>
          <w:rFonts w:ascii="Arial" w:hAnsi="Arial" w:cs="Arial"/>
          <w:sz w:val="18"/>
          <w:szCs w:val="18"/>
          <w:vertAlign w:val="subscript"/>
        </w:rPr>
        <w:t>1-x</w:t>
      </w:r>
      <w:r>
        <w:rPr>
          <w:rFonts w:ascii="Arial" w:hAnsi="Arial" w:cs="Arial"/>
          <w:sz w:val="18"/>
          <w:szCs w:val="18"/>
        </w:rPr>
        <w:t>Ca</w:t>
      </w:r>
      <w:r>
        <w:rPr>
          <w:rFonts w:ascii="Arial" w:hAnsi="Arial" w:cs="Arial"/>
          <w:sz w:val="18"/>
          <w:szCs w:val="18"/>
          <w:vertAlign w:val="subscript"/>
        </w:rPr>
        <w:t>x</w:t>
      </w:r>
      <w:r>
        <w:rPr>
          <w:rFonts w:ascii="Arial" w:hAnsi="Arial" w:cs="Arial"/>
          <w:sz w:val="18"/>
          <w:szCs w:val="18"/>
        </w:rPr>
        <w:t>MnO</w:t>
      </w:r>
      <w:r>
        <w:rPr>
          <w:rFonts w:ascii="Arial" w:hAnsi="Arial" w:cs="Arial"/>
          <w:sz w:val="18"/>
          <w:szCs w:val="18"/>
          <w:vertAlign w:val="subscript"/>
        </w:rPr>
        <w:t>3</w:t>
      </w:r>
      <w:r>
        <w:rPr>
          <w:rFonts w:ascii="Arial" w:hAnsi="Arial" w:cs="Arial"/>
          <w:sz w:val="18"/>
          <w:szCs w:val="18"/>
        </w:rPr>
        <w:t xml:space="preserve"> junctions. Physical Review B 80, 235113 (2009).</w:t>
      </w:r>
    </w:p>
    <w:p w14:paraId="35116B87" w14:textId="77777777" w:rsidR="008E5A22" w:rsidRDefault="008E5A22">
      <w:pPr>
        <w:spacing w:after="60"/>
        <w:ind w:hanging="480"/>
        <w:divId w:val="2073653082"/>
        <w:rPr>
          <w:rFonts w:ascii="Arial" w:hAnsi="Arial" w:cs="Arial"/>
          <w:sz w:val="18"/>
          <w:szCs w:val="18"/>
        </w:rPr>
      </w:pPr>
      <w:r>
        <w:rPr>
          <w:rFonts w:ascii="Arial" w:hAnsi="Arial" w:cs="Arial"/>
          <w:sz w:val="18"/>
          <w:szCs w:val="18"/>
        </w:rPr>
        <w:t>[17] V. Lähteenlahti, A. Schulman, A. Beiranvand, H. Huhtinen, P. Paturi, Electron Doping Effect in the Resistive Switching Properties of Al/Gd</w:t>
      </w:r>
      <w:r>
        <w:rPr>
          <w:rFonts w:ascii="Arial" w:hAnsi="Arial" w:cs="Arial"/>
          <w:sz w:val="18"/>
          <w:szCs w:val="18"/>
          <w:vertAlign w:val="subscript"/>
        </w:rPr>
        <w:t>1-x</w:t>
      </w:r>
      <w:r>
        <w:rPr>
          <w:rFonts w:ascii="Arial" w:hAnsi="Arial" w:cs="Arial"/>
          <w:sz w:val="18"/>
          <w:szCs w:val="18"/>
        </w:rPr>
        <w:t>Ca</w:t>
      </w:r>
      <w:r>
        <w:rPr>
          <w:rFonts w:ascii="Arial" w:hAnsi="Arial" w:cs="Arial"/>
          <w:sz w:val="18"/>
          <w:szCs w:val="18"/>
          <w:vertAlign w:val="subscript"/>
        </w:rPr>
        <w:t>x</w:t>
      </w:r>
      <w:r>
        <w:rPr>
          <w:rFonts w:ascii="Arial" w:hAnsi="Arial" w:cs="Arial"/>
          <w:sz w:val="18"/>
          <w:szCs w:val="18"/>
        </w:rPr>
        <w:t>MnO</w:t>
      </w:r>
      <w:r>
        <w:rPr>
          <w:rFonts w:ascii="Arial" w:hAnsi="Arial" w:cs="Arial"/>
          <w:sz w:val="18"/>
          <w:szCs w:val="18"/>
          <w:vertAlign w:val="subscript"/>
        </w:rPr>
        <w:t>3</w:t>
      </w:r>
      <w:r>
        <w:rPr>
          <w:rFonts w:ascii="Arial" w:hAnsi="Arial" w:cs="Arial"/>
          <w:sz w:val="18"/>
          <w:szCs w:val="18"/>
        </w:rPr>
        <w:t>/Au Memristor Devices. ACS Applied Materials &amp; Interfaces 13, 18365–18371 (2021).</w:t>
      </w:r>
    </w:p>
    <w:p w14:paraId="7856F215" w14:textId="77777777" w:rsidR="008E5A22" w:rsidRDefault="008E5A22">
      <w:pPr>
        <w:spacing w:after="60"/>
        <w:ind w:hanging="480"/>
        <w:divId w:val="2073653082"/>
        <w:rPr>
          <w:rFonts w:ascii="Arial" w:hAnsi="Arial" w:cs="Arial"/>
          <w:sz w:val="18"/>
          <w:szCs w:val="18"/>
        </w:rPr>
      </w:pPr>
      <w:r>
        <w:rPr>
          <w:rFonts w:ascii="Arial" w:hAnsi="Arial" w:cs="Arial"/>
          <w:sz w:val="18"/>
          <w:szCs w:val="18"/>
        </w:rPr>
        <w:t>[18] W. C. Chueh, C. Falter, M. Abbott, D. Scipio, P. Furler, S. M. Haile, A. Steinfeld, High-Flux Solar-Driven Thermochemical Dissociation of CO</w:t>
      </w:r>
      <w:r>
        <w:rPr>
          <w:rFonts w:ascii="Arial" w:hAnsi="Arial" w:cs="Arial"/>
          <w:sz w:val="18"/>
          <w:szCs w:val="18"/>
          <w:vertAlign w:val="subscript"/>
        </w:rPr>
        <w:t>2</w:t>
      </w:r>
      <w:r>
        <w:rPr>
          <w:rFonts w:ascii="Arial" w:hAnsi="Arial" w:cs="Arial"/>
          <w:sz w:val="18"/>
          <w:szCs w:val="18"/>
        </w:rPr>
        <w:t xml:space="preserve"> and H</w:t>
      </w:r>
      <w:r>
        <w:rPr>
          <w:rFonts w:ascii="Arial" w:hAnsi="Arial" w:cs="Arial"/>
          <w:sz w:val="18"/>
          <w:szCs w:val="18"/>
          <w:vertAlign w:val="subscript"/>
        </w:rPr>
        <w:t>2</w:t>
      </w:r>
      <w:r>
        <w:rPr>
          <w:rFonts w:ascii="Arial" w:hAnsi="Arial" w:cs="Arial"/>
          <w:sz w:val="18"/>
          <w:szCs w:val="18"/>
        </w:rPr>
        <w:t>O Using Nonstoichiometric Ceria. Science 330, 1797–1801 (2010).</w:t>
      </w:r>
    </w:p>
    <w:p w14:paraId="3A91F9E1" w14:textId="77777777" w:rsidR="008E5A22" w:rsidRDefault="008E5A22">
      <w:pPr>
        <w:spacing w:after="60"/>
        <w:ind w:hanging="480"/>
        <w:divId w:val="2073653082"/>
        <w:rPr>
          <w:rFonts w:ascii="Arial" w:hAnsi="Arial" w:cs="Arial"/>
          <w:sz w:val="18"/>
          <w:szCs w:val="18"/>
        </w:rPr>
      </w:pPr>
      <w:r>
        <w:rPr>
          <w:rFonts w:ascii="Arial" w:hAnsi="Arial" w:cs="Arial"/>
          <w:sz w:val="18"/>
          <w:szCs w:val="18"/>
        </w:rPr>
        <w:t>[19] D. N. Mueller, M. L. Machala, H. Bluhm, W. C. Chueh, Redox activity of surface oxygen anions in oxygen-deficient perovskite oxides during electrochemical reactions. Nature Communications 6, 6097 (2015).</w:t>
      </w:r>
    </w:p>
    <w:p w14:paraId="0D2BF619" w14:textId="77777777" w:rsidR="008E5A22" w:rsidRDefault="008E5A22">
      <w:pPr>
        <w:spacing w:after="60"/>
        <w:ind w:hanging="480"/>
        <w:divId w:val="2073653082"/>
        <w:rPr>
          <w:rFonts w:ascii="Arial" w:hAnsi="Arial" w:cs="Arial"/>
          <w:sz w:val="18"/>
          <w:szCs w:val="18"/>
        </w:rPr>
      </w:pPr>
      <w:r>
        <w:rPr>
          <w:rFonts w:ascii="Arial" w:hAnsi="Arial" w:cs="Arial"/>
          <w:sz w:val="18"/>
          <w:szCs w:val="18"/>
        </w:rPr>
        <w:t>[20] C. Baeumer, J. Li, Q. Lu et al. (with W. C. Chueh), Tuning electrochemically driven surface transformation in atomically flat LaNiO</w:t>
      </w:r>
      <w:r>
        <w:rPr>
          <w:rFonts w:ascii="Arial" w:hAnsi="Arial" w:cs="Arial"/>
          <w:sz w:val="18"/>
          <w:szCs w:val="18"/>
          <w:vertAlign w:val="subscript"/>
        </w:rPr>
        <w:t>3</w:t>
      </w:r>
      <w:r>
        <w:rPr>
          <w:rFonts w:ascii="Arial" w:hAnsi="Arial" w:cs="Arial"/>
          <w:sz w:val="18"/>
          <w:szCs w:val="18"/>
        </w:rPr>
        <w:t xml:space="preserve"> thin films for enhanced water electrolysis. Nature Materials 20, 674–682 (2021).</w:t>
      </w:r>
    </w:p>
    <w:p w14:paraId="6A8CC9E3" w14:textId="77777777" w:rsidR="008E5A22" w:rsidRDefault="008E5A22">
      <w:pPr>
        <w:spacing w:after="60"/>
        <w:ind w:hanging="480"/>
        <w:divId w:val="2073653082"/>
        <w:rPr>
          <w:rFonts w:ascii="Arial" w:hAnsi="Arial" w:cs="Arial"/>
          <w:sz w:val="18"/>
          <w:szCs w:val="18"/>
        </w:rPr>
      </w:pPr>
      <w:r>
        <w:rPr>
          <w:rFonts w:ascii="Arial" w:hAnsi="Arial" w:cs="Arial"/>
          <w:sz w:val="18"/>
          <w:szCs w:val="18"/>
        </w:rPr>
        <w:t>[21] M. Wuttig et al., Revisiting the Nature of Chemical Bonding in Chalcogenides to Explain and Design their Properties. Advanced Materials 35, 2208485 (2023).</w:t>
      </w:r>
    </w:p>
    <w:p w14:paraId="3629FB22" w14:textId="77777777" w:rsidR="008E5A22" w:rsidRDefault="008E5A22">
      <w:pPr>
        <w:spacing w:after="60"/>
        <w:ind w:hanging="480"/>
        <w:divId w:val="2073653082"/>
        <w:rPr>
          <w:rFonts w:ascii="Arial" w:hAnsi="Arial" w:cs="Arial"/>
          <w:sz w:val="18"/>
          <w:szCs w:val="18"/>
        </w:rPr>
      </w:pPr>
      <w:r>
        <w:rPr>
          <w:rFonts w:ascii="Arial" w:hAnsi="Arial" w:cs="Arial"/>
          <w:sz w:val="18"/>
          <w:szCs w:val="18"/>
        </w:rPr>
        <w:t>[E1] M. Buczek et al., Amorphous, Highly Conductive Pr</w:t>
      </w:r>
      <w:r>
        <w:rPr>
          <w:rFonts w:ascii="Arial" w:hAnsi="Arial" w:cs="Arial"/>
          <w:sz w:val="18"/>
          <w:szCs w:val="18"/>
          <w:vertAlign w:val="subscript"/>
        </w:rPr>
        <w:t>0.7</w:t>
      </w:r>
      <w:r>
        <w:rPr>
          <w:rFonts w:ascii="Arial" w:hAnsi="Arial" w:cs="Arial"/>
          <w:sz w:val="18"/>
          <w:szCs w:val="18"/>
        </w:rPr>
        <w:t>Ca</w:t>
      </w:r>
      <w:r>
        <w:rPr>
          <w:rFonts w:ascii="Arial" w:hAnsi="Arial" w:cs="Arial"/>
          <w:sz w:val="18"/>
          <w:szCs w:val="18"/>
          <w:vertAlign w:val="subscript"/>
        </w:rPr>
        <w:t>0.3</w:t>
      </w:r>
      <w:r>
        <w:rPr>
          <w:rFonts w:ascii="Arial" w:hAnsi="Arial" w:cs="Arial"/>
          <w:sz w:val="18"/>
          <w:szCs w:val="18"/>
        </w:rPr>
        <w:t>MnO</w:t>
      </w:r>
      <w:r>
        <w:rPr>
          <w:rFonts w:ascii="Arial" w:hAnsi="Arial" w:cs="Arial"/>
          <w:sz w:val="18"/>
          <w:szCs w:val="18"/>
          <w:vertAlign w:val="subscript"/>
        </w:rPr>
        <w:t>3</w:t>
      </w:r>
      <w:r>
        <w:rPr>
          <w:rFonts w:ascii="Arial" w:hAnsi="Arial" w:cs="Arial"/>
          <w:sz w:val="18"/>
          <w:szCs w:val="18"/>
        </w:rPr>
        <w:t xml:space="preserve"> for Area-Dependent Resistive Switching Devices. Advanced Electronic Materials (2026, accepted).</w:t>
      </w:r>
    </w:p>
    <w:p w14:paraId="03940FE3" w14:textId="77777777" w:rsidR="008E5A22" w:rsidRDefault="008E5A22">
      <w:pPr>
        <w:spacing w:after="60"/>
        <w:ind w:hanging="480"/>
        <w:divId w:val="2073653082"/>
        <w:rPr>
          <w:rFonts w:ascii="Arial" w:hAnsi="Arial" w:cs="Arial"/>
          <w:sz w:val="18"/>
          <w:szCs w:val="18"/>
        </w:rPr>
      </w:pPr>
      <w:r>
        <w:rPr>
          <w:rFonts w:ascii="Arial" w:hAnsi="Arial" w:cs="Arial"/>
          <w:sz w:val="18"/>
          <w:szCs w:val="18"/>
        </w:rPr>
        <w:t>[E2] M. Buczek, Z. Moos, A. Gutsche, S. Menzel, R. Dittmann, Pr</w:t>
      </w:r>
      <w:r>
        <w:rPr>
          <w:rFonts w:ascii="Arial" w:hAnsi="Arial" w:cs="Arial"/>
          <w:sz w:val="18"/>
          <w:szCs w:val="18"/>
          <w:vertAlign w:val="subscript"/>
        </w:rPr>
        <w:t>1-x</w:t>
      </w:r>
      <w:r>
        <w:rPr>
          <w:rFonts w:ascii="Arial" w:hAnsi="Arial" w:cs="Arial"/>
          <w:sz w:val="18"/>
          <w:szCs w:val="18"/>
        </w:rPr>
        <w:t>Ca</w:t>
      </w:r>
      <w:r>
        <w:rPr>
          <w:rFonts w:ascii="Arial" w:hAnsi="Arial" w:cs="Arial"/>
          <w:sz w:val="18"/>
          <w:szCs w:val="18"/>
          <w:vertAlign w:val="subscript"/>
        </w:rPr>
        <w:t>x</w:t>
      </w:r>
      <w:r>
        <w:rPr>
          <w:rFonts w:ascii="Arial" w:hAnsi="Arial" w:cs="Arial"/>
          <w:sz w:val="18"/>
          <w:szCs w:val="18"/>
        </w:rPr>
        <w:t>MnO</w:t>
      </w:r>
      <w:r>
        <w:rPr>
          <w:rFonts w:ascii="Arial" w:hAnsi="Arial" w:cs="Arial"/>
          <w:sz w:val="18"/>
          <w:szCs w:val="18"/>
          <w:vertAlign w:val="subscript"/>
        </w:rPr>
        <w:t>3</w:t>
      </w:r>
      <w:r>
        <w:rPr>
          <w:rFonts w:ascii="Arial" w:hAnsi="Arial" w:cs="Arial"/>
          <w:sz w:val="18"/>
          <w:szCs w:val="18"/>
        </w:rPr>
        <w:t>-Based Memristive Heterostructures: Basic Mechanisms and Applications. Chemical Reviews 125, 6156–6202 (2025).</w:t>
      </w:r>
    </w:p>
    <w:p w14:paraId="62322458" w14:textId="77777777" w:rsidR="008E5A22" w:rsidRDefault="008E5A22">
      <w:pPr>
        <w:spacing w:after="60"/>
        <w:ind w:hanging="480"/>
        <w:divId w:val="2073653082"/>
        <w:rPr>
          <w:rFonts w:ascii="Arial" w:hAnsi="Arial" w:cs="Arial"/>
          <w:sz w:val="18"/>
          <w:szCs w:val="18"/>
        </w:rPr>
      </w:pPr>
      <w:r>
        <w:rPr>
          <w:rFonts w:ascii="Arial" w:hAnsi="Arial" w:cs="Arial"/>
          <w:sz w:val="18"/>
          <w:szCs w:val="18"/>
        </w:rPr>
        <w:t>[E3] M. Buczek et al., Large Area Pulsed Laser Deposition of Memristive Pr</w:t>
      </w:r>
      <w:r>
        <w:rPr>
          <w:rFonts w:ascii="Arial" w:hAnsi="Arial" w:cs="Arial"/>
          <w:sz w:val="18"/>
          <w:szCs w:val="18"/>
          <w:vertAlign w:val="subscript"/>
        </w:rPr>
        <w:t>0.7</w:t>
      </w:r>
      <w:r>
        <w:rPr>
          <w:rFonts w:ascii="Arial" w:hAnsi="Arial" w:cs="Arial"/>
          <w:sz w:val="18"/>
          <w:szCs w:val="18"/>
        </w:rPr>
        <w:t>Ca</w:t>
      </w:r>
      <w:r>
        <w:rPr>
          <w:rFonts w:ascii="Arial" w:hAnsi="Arial" w:cs="Arial"/>
          <w:sz w:val="18"/>
          <w:szCs w:val="18"/>
          <w:vertAlign w:val="subscript"/>
        </w:rPr>
        <w:t>0.3</w:t>
      </w:r>
      <w:r>
        <w:rPr>
          <w:rFonts w:ascii="Arial" w:hAnsi="Arial" w:cs="Arial"/>
          <w:sz w:val="18"/>
          <w:szCs w:val="18"/>
        </w:rPr>
        <w:t>MnO</w:t>
      </w:r>
      <w:r>
        <w:rPr>
          <w:rFonts w:ascii="Arial" w:hAnsi="Arial" w:cs="Arial"/>
          <w:sz w:val="18"/>
          <w:szCs w:val="18"/>
          <w:vertAlign w:val="subscript"/>
        </w:rPr>
        <w:t>3</w:t>
      </w:r>
      <w:r>
        <w:rPr>
          <w:rFonts w:ascii="Arial" w:hAnsi="Arial" w:cs="Arial"/>
          <w:sz w:val="18"/>
          <w:szCs w:val="18"/>
        </w:rPr>
        <w:t xml:space="preserve"> Heterostructures for Neuromorphic Computing. Thin Solid Films (2024).</w:t>
      </w:r>
    </w:p>
    <w:p w14:paraId="38A93C9B" w14:textId="77777777" w:rsidR="008E5A22" w:rsidRDefault="008E5A22">
      <w:pPr>
        <w:pStyle w:val="Heading1"/>
        <w:pageBreakBefore/>
        <w:rPr>
          <w:rFonts w:ascii="Arial" w:eastAsia="Times New Roman" w:hAnsi="Arial" w:cs="Arial"/>
        </w:rPr>
      </w:pPr>
      <w:r>
        <w:rPr>
          <w:rFonts w:ascii="Arial" w:eastAsia="Times New Roman" w:hAnsi="Arial" w:cs="Arial"/>
        </w:rPr>
        <w:t>Checklist of Further Application Documents (AvH online portal)</w:t>
      </w:r>
    </w:p>
    <w:tbl>
      <w:tblPr>
        <w:tblW w:w="5000" w:type="pct"/>
        <w:tblCellMar>
          <w:top w:w="15" w:type="dxa"/>
          <w:left w:w="15" w:type="dxa"/>
          <w:bottom w:w="15" w:type="dxa"/>
          <w:right w:w="15" w:type="dxa"/>
        </w:tblCellMar>
        <w:tblLook w:val="04A0" w:firstRow="1" w:lastRow="0" w:firstColumn="1" w:lastColumn="0" w:noHBand="0" w:noVBand="1"/>
      </w:tblPr>
      <w:tblGrid>
        <w:gridCol w:w="3804"/>
        <w:gridCol w:w="5252"/>
      </w:tblGrid>
      <w:tr w:rsidR="00C50C01" w14:paraId="21E64BFB" w14:textId="77777777">
        <w:tc>
          <w:tcPr>
            <w:tcW w:w="2100" w:type="pct"/>
            <w:tcBorders>
              <w:top w:val="single" w:sz="6" w:space="0" w:color="999999"/>
              <w:left w:val="single" w:sz="6" w:space="0" w:color="999999"/>
              <w:bottom w:val="single" w:sz="6" w:space="0" w:color="999999"/>
              <w:right w:val="single" w:sz="6" w:space="0" w:color="999999"/>
            </w:tcBorders>
            <w:shd w:val="clear" w:color="auto" w:fill="E7F0EA"/>
            <w:tcMar>
              <w:top w:w="60" w:type="dxa"/>
              <w:left w:w="100" w:type="dxa"/>
              <w:bottom w:w="60" w:type="dxa"/>
              <w:right w:w="100" w:type="dxa"/>
            </w:tcMar>
            <w:hideMark/>
          </w:tcPr>
          <w:p w14:paraId="4F86CAB8" w14:textId="77777777" w:rsidR="008E5A22" w:rsidRDefault="008E5A22">
            <w:pPr>
              <w:spacing w:before="120" w:after="200"/>
              <w:rPr>
                <w:rFonts w:ascii="Arial" w:eastAsia="Times New Roman" w:hAnsi="Arial" w:cs="Arial"/>
                <w:b/>
                <w:bCs/>
                <w:sz w:val="19"/>
                <w:szCs w:val="19"/>
              </w:rPr>
            </w:pPr>
            <w:r>
              <w:rPr>
                <w:rFonts w:ascii="Arial" w:eastAsia="Times New Roman" w:hAnsi="Arial" w:cs="Arial"/>
                <w:b/>
                <w:bCs/>
                <w:sz w:val="19"/>
                <w:szCs w:val="19"/>
              </w:rPr>
              <w:t>Document</w:t>
            </w:r>
          </w:p>
        </w:tc>
        <w:tc>
          <w:tcPr>
            <w:tcW w:w="0" w:type="auto"/>
            <w:tcBorders>
              <w:top w:val="single" w:sz="6" w:space="0" w:color="999999"/>
              <w:left w:val="single" w:sz="6" w:space="0" w:color="999999"/>
              <w:bottom w:val="single" w:sz="6" w:space="0" w:color="999999"/>
              <w:right w:val="single" w:sz="6" w:space="0" w:color="999999"/>
            </w:tcBorders>
            <w:shd w:val="clear" w:color="auto" w:fill="E7F0EA"/>
            <w:tcMar>
              <w:top w:w="60" w:type="dxa"/>
              <w:left w:w="100" w:type="dxa"/>
              <w:bottom w:w="60" w:type="dxa"/>
              <w:right w:w="100" w:type="dxa"/>
            </w:tcMar>
            <w:hideMark/>
          </w:tcPr>
          <w:p w14:paraId="011BC878" w14:textId="77777777" w:rsidR="008E5A22" w:rsidRDefault="008E5A22">
            <w:pPr>
              <w:spacing w:before="120" w:after="200"/>
              <w:rPr>
                <w:rFonts w:ascii="Arial" w:eastAsia="Times New Roman" w:hAnsi="Arial" w:cs="Arial"/>
                <w:b/>
                <w:bCs/>
                <w:sz w:val="19"/>
                <w:szCs w:val="19"/>
              </w:rPr>
            </w:pPr>
            <w:r>
              <w:rPr>
                <w:rFonts w:ascii="Arial" w:eastAsia="Times New Roman" w:hAnsi="Arial" w:cs="Arial"/>
                <w:b/>
                <w:bCs/>
                <w:sz w:val="19"/>
                <w:szCs w:val="19"/>
              </w:rPr>
              <w:t>Status / note</w:t>
            </w:r>
          </w:p>
        </w:tc>
      </w:tr>
      <w:tr w:rsidR="00C50C01" w14:paraId="2923DD18" w14:textId="77777777">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1AFDB25B" w14:textId="77777777" w:rsidR="008E5A22" w:rsidRDefault="008E5A22">
            <w:pPr>
              <w:spacing w:before="120" w:after="200"/>
              <w:rPr>
                <w:rFonts w:ascii="Arial" w:eastAsia="Times New Roman" w:hAnsi="Arial" w:cs="Arial"/>
                <w:sz w:val="19"/>
                <w:szCs w:val="19"/>
              </w:rPr>
            </w:pPr>
            <w:r>
              <w:rPr>
                <w:rFonts w:ascii="Arial" w:eastAsia="Times New Roman" w:hAnsi="Arial" w:cs="Arial"/>
                <w:sz w:val="19"/>
                <w:szCs w:val="19"/>
              </w:rPr>
              <w:t>Curriculum vitae (max. 2 pages)</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11B007B1" w14:textId="77777777" w:rsidR="008E5A22" w:rsidRDefault="008E5A22">
            <w:pPr>
              <w:spacing w:before="120" w:after="200"/>
              <w:rPr>
                <w:rFonts w:ascii="Arial" w:eastAsia="Times New Roman" w:hAnsi="Arial" w:cs="Arial"/>
                <w:sz w:val="19"/>
                <w:szCs w:val="19"/>
              </w:rPr>
            </w:pPr>
            <w:r>
              <w:rPr>
                <w:rFonts w:ascii="Arial" w:eastAsia="Times New Roman" w:hAnsi="Arial" w:cs="Arial"/>
                <w:sz w:val="19"/>
                <w:szCs w:val="19"/>
              </w:rPr>
              <w:t>Condense from CV_Max_Buczek; focus: doctorate, methodological profile, publications, supervision</w:t>
            </w:r>
          </w:p>
        </w:tc>
      </w:tr>
      <w:tr w:rsidR="00C50C01" w14:paraId="07DC3540" w14:textId="77777777">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5FE59DFF" w14:textId="77777777" w:rsidR="008E5A22" w:rsidRDefault="008E5A22">
            <w:pPr>
              <w:spacing w:before="120" w:after="200"/>
              <w:rPr>
                <w:rFonts w:ascii="Arial" w:eastAsia="Times New Roman" w:hAnsi="Arial" w:cs="Arial"/>
                <w:sz w:val="19"/>
                <w:szCs w:val="19"/>
              </w:rPr>
            </w:pPr>
            <w:r>
              <w:rPr>
                <w:rFonts w:ascii="Arial" w:eastAsia="Times New Roman" w:hAnsi="Arial" w:cs="Arial"/>
                <w:sz w:val="19"/>
                <w:szCs w:val="19"/>
              </w:rPr>
              <w:t>Research proposal (max. 5 pages)</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06EB31A5" w14:textId="77777777" w:rsidR="008E5A22" w:rsidRDefault="008E5A22">
            <w:pPr>
              <w:spacing w:before="120" w:after="200"/>
              <w:rPr>
                <w:rFonts w:ascii="Arial" w:eastAsia="Times New Roman" w:hAnsi="Arial" w:cs="Arial"/>
                <w:sz w:val="19"/>
                <w:szCs w:val="19"/>
              </w:rPr>
            </w:pPr>
            <w:r>
              <w:rPr>
                <w:rFonts w:ascii="Arial" w:eastAsia="Times New Roman" w:hAnsi="Arial" w:cs="Arial"/>
                <w:sz w:val="19"/>
                <w:szCs w:val="19"/>
              </w:rPr>
              <w:t xml:space="preserve">This exposé – </w:t>
            </w:r>
            <w:r>
              <w:rPr>
                <w:rFonts w:ascii="Arial" w:eastAsia="Times New Roman" w:hAnsi="Arial" w:cs="Arial"/>
                <w:b/>
                <w:bCs/>
                <w:sz w:val="19"/>
                <w:szCs w:val="19"/>
              </w:rPr>
              <w:t>coordinate with Prof. Chueh before submission</w:t>
            </w:r>
            <w:r>
              <w:rPr>
                <w:rFonts w:ascii="Arial" w:eastAsia="Times New Roman" w:hAnsi="Arial" w:cs="Arial"/>
                <w:sz w:val="19"/>
                <w:szCs w:val="19"/>
              </w:rPr>
              <w:t xml:space="preserve"> (AvH requirement: independently developed, coordinated with the host)</w:t>
            </w:r>
          </w:p>
        </w:tc>
      </w:tr>
      <w:tr w:rsidR="00C50C01" w14:paraId="51BD59B3" w14:textId="77777777">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25F39578" w14:textId="77777777" w:rsidR="008E5A22" w:rsidRDefault="008E5A22">
            <w:pPr>
              <w:spacing w:before="120" w:after="200"/>
              <w:rPr>
                <w:rFonts w:ascii="Arial" w:eastAsia="Times New Roman" w:hAnsi="Arial" w:cs="Arial"/>
                <w:sz w:val="19"/>
                <w:szCs w:val="19"/>
              </w:rPr>
            </w:pPr>
            <w:r>
              <w:rPr>
                <w:rFonts w:ascii="Arial" w:eastAsia="Times New Roman" w:hAnsi="Arial" w:cs="Arial"/>
                <w:sz w:val="19"/>
                <w:szCs w:val="19"/>
              </w:rPr>
              <w:t>Complete list of publications</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0CB9DF6F" w14:textId="77777777" w:rsidR="008E5A22" w:rsidRDefault="008E5A22">
            <w:pPr>
              <w:spacing w:before="120" w:after="200"/>
              <w:rPr>
                <w:rFonts w:ascii="Arial" w:eastAsia="Times New Roman" w:hAnsi="Arial" w:cs="Arial"/>
                <w:sz w:val="19"/>
                <w:szCs w:val="19"/>
              </w:rPr>
            </w:pPr>
            <w:r>
              <w:rPr>
                <w:rFonts w:ascii="Arial" w:eastAsia="Times New Roman" w:hAnsi="Arial" w:cs="Arial"/>
                <w:sz w:val="19"/>
                <w:szCs w:val="19"/>
              </w:rPr>
              <w:t>Incl. conference contributions and patent application</w:t>
            </w:r>
          </w:p>
        </w:tc>
      </w:tr>
      <w:tr w:rsidR="00C50C01" w14:paraId="50CAE209" w14:textId="77777777">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68270097" w14:textId="77777777" w:rsidR="008E5A22" w:rsidRDefault="008E5A22">
            <w:pPr>
              <w:spacing w:before="120" w:after="200"/>
              <w:rPr>
                <w:rFonts w:ascii="Arial" w:eastAsia="Times New Roman" w:hAnsi="Arial" w:cs="Arial"/>
                <w:sz w:val="19"/>
                <w:szCs w:val="19"/>
              </w:rPr>
            </w:pPr>
            <w:r>
              <w:rPr>
                <w:rFonts w:ascii="Arial" w:eastAsia="Times New Roman" w:hAnsi="Arial" w:cs="Arial"/>
                <w:sz w:val="19"/>
                <w:szCs w:val="19"/>
              </w:rPr>
              <w:t>1–3 key publications with justification</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3B4E9585" w14:textId="77777777" w:rsidR="008E5A22" w:rsidRDefault="008E5A22">
            <w:pPr>
              <w:spacing w:before="120" w:after="200"/>
              <w:rPr>
                <w:rFonts w:ascii="Arial" w:eastAsia="Times New Roman" w:hAnsi="Arial" w:cs="Arial"/>
                <w:sz w:val="19"/>
                <w:szCs w:val="19"/>
              </w:rPr>
            </w:pPr>
            <w:r>
              <w:rPr>
                <w:rFonts w:ascii="Arial" w:eastAsia="Times New Roman" w:hAnsi="Arial" w:cs="Arial"/>
                <w:sz w:val="19"/>
                <w:szCs w:val="19"/>
              </w:rPr>
              <w:t>Recommendation: Chem. Rev. 2025 (command of the field, first author), Adv. Electron. Mater. 2026 (device innovation), Thin Solid Films 2024 (PLD methodology)</w:t>
            </w:r>
          </w:p>
        </w:tc>
      </w:tr>
      <w:tr w:rsidR="00C50C01" w14:paraId="42F1461E" w14:textId="77777777">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124E617E" w14:textId="77777777" w:rsidR="008E5A22" w:rsidRDefault="008E5A22">
            <w:pPr>
              <w:spacing w:before="120" w:after="200"/>
              <w:rPr>
                <w:rFonts w:ascii="Arial" w:eastAsia="Times New Roman" w:hAnsi="Arial" w:cs="Arial"/>
                <w:sz w:val="19"/>
                <w:szCs w:val="19"/>
              </w:rPr>
            </w:pPr>
            <w:r>
              <w:rPr>
                <w:rFonts w:ascii="Arial" w:eastAsia="Times New Roman" w:hAnsi="Arial" w:cs="Arial"/>
                <w:sz w:val="19"/>
                <w:szCs w:val="19"/>
              </w:rPr>
              <w:t>Doctoral certificate / proof</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63FED9AA" w14:textId="77777777" w:rsidR="008E5A22" w:rsidRDefault="008E5A22">
            <w:pPr>
              <w:spacing w:before="120" w:after="200"/>
              <w:rPr>
                <w:rFonts w:ascii="Arial" w:eastAsia="Times New Roman" w:hAnsi="Arial" w:cs="Arial"/>
                <w:sz w:val="19"/>
                <w:szCs w:val="19"/>
              </w:rPr>
            </w:pPr>
            <w:r>
              <w:rPr>
                <w:rFonts w:ascii="Arial" w:eastAsia="Times New Roman" w:hAnsi="Arial" w:cs="Arial"/>
                <w:sz w:val="19"/>
                <w:szCs w:val="19"/>
              </w:rPr>
              <w:t>If applying before completion: declaration that the dissertation will be submitted within 6 months</w:t>
            </w:r>
          </w:p>
        </w:tc>
      </w:tr>
      <w:tr w:rsidR="00C50C01" w14:paraId="4228FE7B" w14:textId="77777777">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3D1BD44D" w14:textId="77777777" w:rsidR="008E5A22" w:rsidRDefault="008E5A22">
            <w:pPr>
              <w:spacing w:before="120" w:after="200"/>
              <w:rPr>
                <w:rFonts w:ascii="Arial" w:eastAsia="Times New Roman" w:hAnsi="Arial" w:cs="Arial"/>
                <w:sz w:val="19"/>
                <w:szCs w:val="19"/>
              </w:rPr>
            </w:pPr>
            <w:r>
              <w:rPr>
                <w:rFonts w:ascii="Arial" w:eastAsia="Times New Roman" w:hAnsi="Arial" w:cs="Arial"/>
                <w:sz w:val="19"/>
                <w:szCs w:val="19"/>
              </w:rPr>
              <w:t>Host’s statement + confirmation of research place (incl. mentoring agreement and co-funding commitment)</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6FAC5AEC" w14:textId="77777777" w:rsidR="008E5A22" w:rsidRDefault="008E5A22">
            <w:pPr>
              <w:spacing w:before="120" w:after="200"/>
              <w:rPr>
                <w:rFonts w:ascii="Arial" w:eastAsia="Times New Roman" w:hAnsi="Arial" w:cs="Arial"/>
                <w:sz w:val="19"/>
                <w:szCs w:val="19"/>
              </w:rPr>
            </w:pPr>
            <w:r>
              <w:rPr>
                <w:rFonts w:ascii="Arial" w:eastAsia="Times New Roman" w:hAnsi="Arial" w:cs="Arial"/>
                <w:sz w:val="19"/>
                <w:szCs w:val="19"/>
              </w:rPr>
              <w:t>Prof. Chueh uploads directly to the AvH portal; raise the host contribution (approx. 1/3 of the fellowship; USA is a contributing country) early</w:t>
            </w:r>
          </w:p>
        </w:tc>
      </w:tr>
      <w:tr w:rsidR="00C50C01" w14:paraId="7455DFD2" w14:textId="77777777">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39B77A25" w14:textId="77777777" w:rsidR="008E5A22" w:rsidRDefault="008E5A22">
            <w:pPr>
              <w:spacing w:before="120" w:after="200"/>
              <w:rPr>
                <w:rFonts w:ascii="Arial" w:eastAsia="Times New Roman" w:hAnsi="Arial" w:cs="Arial"/>
                <w:sz w:val="19"/>
                <w:szCs w:val="19"/>
              </w:rPr>
            </w:pPr>
            <w:r>
              <w:rPr>
                <w:rFonts w:ascii="Arial" w:eastAsia="Times New Roman" w:hAnsi="Arial" w:cs="Arial"/>
                <w:sz w:val="19"/>
                <w:szCs w:val="19"/>
              </w:rPr>
              <w:t>Two expert reviews</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4ED59F87" w14:textId="77777777" w:rsidR="008E5A22" w:rsidRDefault="008E5A22">
            <w:pPr>
              <w:spacing w:before="120" w:after="200"/>
              <w:rPr>
                <w:rFonts w:ascii="Arial" w:eastAsia="Times New Roman" w:hAnsi="Arial" w:cs="Arial"/>
                <w:sz w:val="19"/>
                <w:szCs w:val="19"/>
              </w:rPr>
            </w:pPr>
            <w:r>
              <w:rPr>
                <w:rFonts w:ascii="Arial" w:eastAsia="Times New Roman" w:hAnsi="Arial" w:cs="Arial"/>
                <w:sz w:val="19"/>
                <w:szCs w:val="19"/>
              </w:rPr>
              <w:t>Recommendation: Prof. R. Dittmann (doctoral supervisor) + one external, preferably international referee [e.g. from the NeuroSys consortium or the E-MRS environment]</w:t>
            </w:r>
          </w:p>
        </w:tc>
      </w:tr>
    </w:tbl>
    <w:p w14:paraId="1D787D11" w14:textId="77777777" w:rsidR="008E5A22" w:rsidRDefault="008E5A22">
      <w:pPr>
        <w:pStyle w:val="Heading2"/>
        <w:rPr>
          <w:rFonts w:ascii="Arial" w:eastAsia="Times New Roman" w:hAnsi="Arial" w:cs="Arial"/>
        </w:rPr>
      </w:pPr>
      <w:r>
        <w:rPr>
          <w:rFonts w:ascii="Arial" w:eastAsia="Times New Roman" w:hAnsi="Arial" w:cs="Arial"/>
        </w:rPr>
        <w:t>Fellowship benefits (for orientation, as of 2026)</w:t>
      </w:r>
    </w:p>
    <w:p w14:paraId="3262BFBB" w14:textId="77777777" w:rsidR="008E5A22" w:rsidRDefault="008E5A22">
      <w:pPr>
        <w:pStyle w:val="NormalWeb"/>
        <w:rPr>
          <w:rFonts w:ascii="Arial" w:hAnsi="Arial" w:cs="Arial"/>
          <w:sz w:val="21"/>
          <w:szCs w:val="21"/>
        </w:rPr>
      </w:pPr>
      <w:r>
        <w:rPr>
          <w:rFonts w:ascii="Arial" w:hAnsi="Arial" w:cs="Arial"/>
          <w:sz w:val="21"/>
          <w:szCs w:val="21"/>
        </w:rPr>
        <w:t>Base fellowship € 2,187.50/month (minus host contribution) + foreign allowance USA (€ 1,892 single or € 2,528–2,807 with family) + research cost allowance € 312.50/month + travel lump sums; family benefits (partner allowance € 205, child allowance € 400/100); afterwards optionally the Feodor Lynen Return Fellowship (up to 12 months, € 3,600/month) to bridge until group funding. Applications accepted at any time; selection meetings February/June/October; success rate approx. 40 %.</w:t>
      </w:r>
    </w:p>
    <w:sectPr w:rsidR="008E5A22">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7534"/>
    <w:rsid w:val="003C7534"/>
    <w:rsid w:val="008E5A22"/>
    <w:rsid w:val="009521A0"/>
    <w:rsid w:val="00B74F8F"/>
    <w:rsid w:val="00C37513"/>
    <w:rsid w:val="00C50C0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E9E4DB0"/>
  <w15:chartTrackingRefBased/>
  <w15:docId w15:val="{EB2E8832-DCFB-4847-BEA2-EC3DB9F250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spacing w:before="320" w:after="160"/>
      <w:outlineLvl w:val="0"/>
    </w:pPr>
    <w:rPr>
      <w:b/>
      <w:bCs/>
      <w:color w:val="1A5632"/>
      <w:kern w:val="36"/>
      <w:sz w:val="28"/>
      <w:szCs w:val="28"/>
    </w:rPr>
  </w:style>
  <w:style w:type="paragraph" w:styleId="Heading2">
    <w:name w:val="heading 2"/>
    <w:basedOn w:val="Normal"/>
    <w:link w:val="Heading2Char"/>
    <w:uiPriority w:val="9"/>
    <w:qFormat/>
    <w:pPr>
      <w:spacing w:before="260" w:after="120"/>
      <w:outlineLvl w:val="1"/>
    </w:pPr>
    <w:rPr>
      <w:b/>
      <w:bCs/>
      <w:color w:val="1A5632"/>
    </w:rPr>
  </w:style>
  <w:style w:type="paragraph" w:styleId="Heading3">
    <w:name w:val="heading 3"/>
    <w:basedOn w:val="Normal"/>
    <w:link w:val="Heading3Char"/>
    <w:uiPriority w:val="9"/>
    <w:qFormat/>
    <w:pPr>
      <w:spacing w:before="200" w:after="100"/>
      <w:outlineLvl w:val="2"/>
    </w:pPr>
    <w:rPr>
      <w:b/>
      <w:bCs/>
      <w:i/>
      <w:iCs/>
      <w:color w:val="333333"/>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Pr>
      <w:rFonts w:asciiTheme="minorHAnsi" w:eastAsiaTheme="majorEastAsia" w:hAnsiTheme="minorHAnsi" w:cstheme="majorBidi"/>
      <w:color w:val="0F4761" w:themeColor="accent1" w:themeShade="BF"/>
      <w:sz w:val="28"/>
      <w:szCs w:val="28"/>
    </w:rPr>
  </w:style>
  <w:style w:type="paragraph" w:customStyle="1" w:styleId="msonormal0">
    <w:name w:val="msonormal"/>
    <w:basedOn w:val="Normal"/>
    <w:pPr>
      <w:spacing w:after="140"/>
      <w:jc w:val="both"/>
    </w:pPr>
  </w:style>
  <w:style w:type="paragraph" w:styleId="NormalWeb">
    <w:name w:val="Normal (Web)"/>
    <w:basedOn w:val="Normal"/>
    <w:uiPriority w:val="99"/>
    <w:semiHidden/>
    <w:unhideWhenUsed/>
    <w:pPr>
      <w:spacing w:after="140"/>
      <w:jc w:val="both"/>
    </w:pPr>
  </w:style>
  <w:style w:type="paragraph" w:customStyle="1" w:styleId="muted">
    <w:name w:val="muted"/>
    <w:basedOn w:val="Normal"/>
    <w:pPr>
      <w:spacing w:before="100" w:beforeAutospacing="1" w:after="60"/>
      <w:jc w:val="both"/>
    </w:pPr>
    <w:rPr>
      <w:i/>
      <w:iCs/>
      <w:color w:val="777777"/>
      <w:sz w:val="18"/>
      <w:szCs w:val="18"/>
    </w:rPr>
  </w:style>
  <w:style w:type="paragraph" w:customStyle="1" w:styleId="center">
    <w:name w:val="center"/>
    <w:basedOn w:val="Normal"/>
    <w:pPr>
      <w:spacing w:before="100" w:beforeAutospacing="1" w:after="60"/>
      <w:jc w:val="center"/>
    </w:pPr>
  </w:style>
  <w:style w:type="paragraph" w:customStyle="1" w:styleId="pb">
    <w:name w:val="pb"/>
    <w:basedOn w:val="Normal"/>
    <w:pPr>
      <w:pageBreakBefore/>
      <w:spacing w:before="100" w:beforeAutospacing="1" w:after="60"/>
      <w:jc w:val="both"/>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73653082">
      <w:marLeft w:val="0"/>
      <w:marRight w:val="0"/>
      <w:marTop w:val="0"/>
      <w:marBottom w:val="0"/>
      <w:divBdr>
        <w:top w:val="none" w:sz="0" w:space="0" w:color="auto"/>
        <w:left w:val="none" w:sz="0" w:space="0" w:color="auto"/>
        <w:bottom w:val="none" w:sz="0" w:space="0" w:color="auto"/>
        <w:right w:val="none" w:sz="0" w:space="0" w:color="auto"/>
      </w:divBdr>
    </w:div>
  </w:divs>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2518</Words>
  <Characters>14353</Characters>
  <Application>Microsoft Office Word</Application>
  <DocSecurity>0</DocSecurity>
  <Lines>119</Lines>
  <Paragraphs>33</Paragraphs>
  <ScaleCrop>false</ScaleCrop>
  <Company/>
  <LinksUpToDate>false</LinksUpToDate>
  <CharactersWithSpaces>16838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Feodor Lynen Research Fellowship - Application Buczek (English)</dc:title>
  <dc:subject/>
  <dc:creator>Buczek, Max</dc:creator>
  <cp:keywords/>
  <dc:description/>
  <cp:lastModifiedBy>Buczek, Max</cp:lastModifiedBy>
  <cp:revision>3</cp:revision>
  <dcterms:created xsi:type="dcterms:W3CDTF">2026-08-09T14:10:00Z</dcterms:created>
  <dcterms:modified xsi:type="dcterms:W3CDTF">2026-08-09T14:54:00Z</dcterms:modified>
</cp:coreProperties>
</file>