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AD417" w14:textId="77777777" w:rsidR="00B93F12" w:rsidRDefault="00B93F12">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5A175763" w14:textId="77777777" w:rsidR="00B93F12" w:rsidRDefault="00B93F12">
      <w:pPr>
        <w:pStyle w:val="NormalWeb"/>
        <w:rPr>
          <w:rFonts w:ascii="Arial" w:hAnsi="Arial" w:cs="Arial"/>
          <w:sz w:val="21"/>
          <w:szCs w:val="21"/>
        </w:rPr>
      </w:pPr>
      <w:r>
        <w:rPr>
          <w:rFonts w:ascii="Arial" w:hAnsi="Arial" w:cs="Arial"/>
          <w:sz w:val="21"/>
          <w:szCs w:val="21"/>
        </w:rPr>
        <w:t> </w:t>
      </w:r>
    </w:p>
    <w:p w14:paraId="4C80536C" w14:textId="77777777" w:rsidR="00B93F12" w:rsidRDefault="00B93F12">
      <w:pPr>
        <w:pStyle w:val="NormalWeb"/>
        <w:rPr>
          <w:rFonts w:ascii="Arial" w:hAnsi="Arial" w:cs="Arial"/>
          <w:sz w:val="21"/>
          <w:szCs w:val="21"/>
        </w:rPr>
      </w:pPr>
      <w:r>
        <w:rPr>
          <w:rFonts w:ascii="Arial" w:hAnsi="Arial" w:cs="Arial"/>
          <w:sz w:val="21"/>
          <w:szCs w:val="21"/>
        </w:rPr>
        <w:t> </w:t>
      </w:r>
    </w:p>
    <w:p w14:paraId="720D23A2" w14:textId="77777777" w:rsidR="00B93F12" w:rsidRDefault="00B93F12">
      <w:pPr>
        <w:pStyle w:val="NormalWeb"/>
        <w:rPr>
          <w:rFonts w:ascii="Arial" w:hAnsi="Arial" w:cs="Arial"/>
          <w:sz w:val="21"/>
          <w:szCs w:val="21"/>
        </w:rPr>
      </w:pPr>
      <w:r>
        <w:rPr>
          <w:rFonts w:ascii="Arial" w:hAnsi="Arial" w:cs="Arial"/>
          <w:sz w:val="21"/>
          <w:szCs w:val="21"/>
        </w:rPr>
        <w:t> </w:t>
      </w:r>
    </w:p>
    <w:p w14:paraId="7D1CF00A" w14:textId="77777777" w:rsidR="00B93F12" w:rsidRDefault="00B93F12">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5A31A8F1" w14:textId="77777777" w:rsidR="00B93F12" w:rsidRDefault="00B93F12">
      <w:pPr>
        <w:pStyle w:val="NormalWeb"/>
        <w:rPr>
          <w:rFonts w:ascii="Arial" w:hAnsi="Arial" w:cs="Arial"/>
          <w:sz w:val="21"/>
          <w:szCs w:val="21"/>
        </w:rPr>
      </w:pPr>
      <w:r>
        <w:rPr>
          <w:rFonts w:ascii="Arial" w:hAnsi="Arial" w:cs="Arial"/>
          <w:sz w:val="21"/>
          <w:szCs w:val="21"/>
        </w:rPr>
        <w:t> </w:t>
      </w:r>
    </w:p>
    <w:p w14:paraId="3E2B0263" w14:textId="77777777" w:rsidR="00B93F12" w:rsidRDefault="00B93F12">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13076BD4" w14:textId="77777777" w:rsidR="00B93F12" w:rsidRDefault="00B93F12">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1EC07205" w14:textId="77777777" w:rsidR="00B93F12" w:rsidRDefault="00B93F12">
      <w:pPr>
        <w:pStyle w:val="NormalWeb"/>
        <w:rPr>
          <w:rFonts w:ascii="Arial" w:hAnsi="Arial" w:cs="Arial"/>
          <w:sz w:val="21"/>
          <w:szCs w:val="21"/>
        </w:rPr>
      </w:pPr>
      <w:r>
        <w:rPr>
          <w:rFonts w:ascii="Arial" w:hAnsi="Arial" w:cs="Arial"/>
          <w:sz w:val="21"/>
          <w:szCs w:val="21"/>
        </w:rPr>
        <w:t> </w:t>
      </w:r>
    </w:p>
    <w:p w14:paraId="57E2E0AA" w14:textId="77777777" w:rsidR="00B93F12" w:rsidRDefault="00B93F1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47B93F30"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D1B2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AA48D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73645B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BA018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D9AA3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49D754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17DF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D6B47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356C39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C0C14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C2B37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09395D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E67F6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B14F3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22CCFEE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C8CE9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AB25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2D5C7602" w14:textId="77777777" w:rsidR="00B93F12" w:rsidRDefault="00B93F12">
      <w:pPr>
        <w:pStyle w:val="NormalWeb"/>
        <w:rPr>
          <w:rFonts w:ascii="Arial" w:hAnsi="Arial" w:cs="Arial"/>
          <w:sz w:val="21"/>
          <w:szCs w:val="21"/>
        </w:rPr>
      </w:pPr>
      <w:r>
        <w:rPr>
          <w:rFonts w:ascii="Arial" w:hAnsi="Arial" w:cs="Arial"/>
          <w:sz w:val="21"/>
          <w:szCs w:val="21"/>
        </w:rPr>
        <w:t> </w:t>
      </w:r>
    </w:p>
    <w:p w14:paraId="4F27EF23" w14:textId="77777777" w:rsidR="00B93F12" w:rsidRDefault="00B93F12">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4A0DE556" w14:textId="77777777" w:rsidR="00B93F12" w:rsidRDefault="00B93F12">
      <w:pPr>
        <w:pStyle w:val="Heading1"/>
        <w:pageBreakBefore/>
        <w:rPr>
          <w:rFonts w:ascii="Arial" w:eastAsia="Times New Roman" w:hAnsi="Arial" w:cs="Arial"/>
        </w:rPr>
      </w:pPr>
      <w:r>
        <w:rPr>
          <w:rFonts w:ascii="Arial" w:eastAsia="Times New Roman" w:hAnsi="Arial" w:cs="Arial"/>
        </w:rPr>
        <w:lastRenderedPageBreak/>
        <w:t>Summary</w:t>
      </w:r>
    </w:p>
    <w:p w14:paraId="1223E2FF" w14:textId="77777777" w:rsidR="00B93F12" w:rsidRDefault="00B93F12">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05C80072" w14:textId="77777777" w:rsidR="00B93F12" w:rsidRDefault="00B93F12">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later</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64C5C48B" w14:textId="77777777" w:rsidR="00B93F12" w:rsidRDefault="00B93F12">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w:t>
      </w:r>
      <w:r>
        <w:rPr>
          <w:rFonts w:ascii="Arial" w:hAnsi="Arial" w:cs="Arial"/>
          <w:sz w:val="21"/>
          <w:szCs w:val="21"/>
        </w:rPr>
        <w:t xml:space="preserve">validated by a “blind” prediction on an oxide not contained in the training set – with noble-contact-proven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(cuprate class) and Pt/Pt-platform Gd-doped CeO</w:t>
      </w:r>
      <w:r>
        <w:rPr>
          <w:rFonts w:ascii="Arial" w:hAnsi="Arial" w:cs="Arial"/>
          <w:sz w:val="21"/>
          <w:szCs w:val="21"/>
          <w:vertAlign w:val="subscript"/>
        </w:rPr>
        <w:t xml:space="preserve">2</w:t>
      </w:r>
      <w:r>
        <w:rPr>
          <w:rFonts w:ascii="Arial" w:hAnsi="Arial" w:cs="Arial"/>
          <w:sz w:val="21"/>
          <w:szCs w:val="21"/>
        </w:rPr>
        <w:t xml:space="preserve"> (fluorite class) as pre-screened candidates.</w:t>
      </w:r>
    </w:p>
    <w:p w14:paraId="1211EC01" w14:textId="77777777" w:rsidR="00B93F12" w:rsidRDefault="00B93F12">
      <w:pPr>
        <w:pStyle w:val="Heading1"/>
        <w:pageBreakBefore/>
        <w:rPr>
          <w:rFonts w:ascii="Arial" w:eastAsia="Times New Roman" w:hAnsi="Arial" w:cs="Arial"/>
        </w:rPr>
      </w:pPr>
      <w:r>
        <w:rPr>
          <w:rFonts w:ascii="Arial" w:eastAsia="Times New Roman" w:hAnsi="Arial" w:cs="Arial"/>
        </w:rPr>
        <w:t>1  State of the Art and Preliminary Work</w:t>
      </w:r>
    </w:p>
    <w:p w14:paraId="54979E3B" w14:textId="77777777" w:rsidR="00B93F12" w:rsidRDefault="00B93F12">
      <w:pPr>
        <w:pStyle w:val="Heading2"/>
        <w:rPr>
          <w:rFonts w:ascii="Arial" w:eastAsia="Times New Roman" w:hAnsi="Arial" w:cs="Arial"/>
        </w:rPr>
      </w:pPr>
      <w:r>
        <w:rPr>
          <w:rFonts w:ascii="Arial" w:eastAsia="Times New Roman" w:hAnsi="Arial" w:cs="Arial"/>
        </w:rPr>
        <w:t>1.1  State of the art</w:t>
      </w:r>
    </w:p>
    <w:p w14:paraId="579E1C4B" w14:textId="77777777" w:rsidR="00B93F12" w:rsidRDefault="00B93F12">
      <w:pPr>
        <w:pStyle w:val="Heading3"/>
        <w:rPr>
          <w:rFonts w:ascii="Arial" w:eastAsia="Times New Roman" w:hAnsi="Arial" w:cs="Arial"/>
        </w:rPr>
      </w:pPr>
      <w:r>
        <w:rPr>
          <w:rFonts w:ascii="Arial" w:eastAsia="Times New Roman" w:hAnsi="Arial" w:cs="Arial"/>
        </w:rPr>
        <w:t>1.1.1  Memristive switching in oxides: the valence change mechanism</w:t>
      </w:r>
    </w:p>
    <w:p w14:paraId="67B0416F" w14:textId="77777777" w:rsidR="00B93F12" w:rsidRDefault="00B93F12">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6FCB3782" w14:textId="77777777" w:rsidR="00B93F12" w:rsidRDefault="00B93F12">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621D5D8D" w14:textId="77777777" w:rsidR="00B93F12" w:rsidRDefault="00B93F12">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1B9AD6A5" w14:textId="77777777" w:rsidR="00B93F12" w:rsidRDefault="00B93F12">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1E294B6A" w14:textId="77777777" w:rsidR="00B93F12" w:rsidRDefault="00B93F12">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back to the electronic structure – ultimately to the metal–oxygen covalency. The conceptual foundation is the Zaanen–Sawatzky–Allen scheme [21]: the charge-transfer energy Δ (O 2p → metal 3d) measures the position of the O-2p states relative to the metal d states and is the microscopic measure of covalency.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313EE252" w14:textId="77777777" w:rsidR="00B93F12" w:rsidRDefault="00B93F12">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547D4233" w14:textId="77777777" w:rsidR="00B93F12" w:rsidRDefault="00B93F12">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64617345" w14:textId="77777777" w:rsidR="00B93F12" w:rsidRDefault="00B93F12">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0990089E" w14:textId="77777777" w:rsidR="00B93F12" w:rsidRDefault="00B93F12">
      <w:pPr>
        <w:pStyle w:val="NormalWeb"/>
        <w:rPr>
          <w:rFonts w:ascii="Arial" w:hAnsi="Arial" w:cs="Arial"/>
          <w:sz w:val="21"/>
          <w:szCs w:val="21"/>
        </w:rPr>
      </w:pPr>
      <w:r>
        <w:rPr>
          <w:rFonts w:ascii="Arial" w:hAnsi="Arial" w:cs="Arial"/>
          <w:sz w:val="21"/>
          <w:szCs w:val="21"/>
        </w:rPr>
        <w:t>XAS provides exactly the observables required for an experimental descriptor map. The pre-edge of the O-K edge (528–532 eV) arises from transitions into unoccupied, covalently hybridised O2p–TM3d states; its integrated intensity is an established measure of metal–oxygen hybridisation [45, 47].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including the primary ferrite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75A7541C" w14:textId="77777777" w:rsidR="00B93F12" w:rsidRDefault="00B93F12">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2F52B7A6" w14:textId="77777777" w:rsidR="00B93F12" w:rsidRDefault="00B93F12">
      <w:pPr>
        <w:pStyle w:val="Heading3"/>
        <w:rPr>
          <w:rFonts w:ascii="Arial" w:eastAsia="Times New Roman" w:hAnsi="Arial" w:cs="Arial"/>
        </w:rPr>
      </w:pPr>
      <w:r>
        <w:rPr>
          <w:rFonts w:ascii="Arial" w:eastAsia="Times New Roman" w:hAnsi="Arial" w:cs="Arial"/>
        </w:rPr>
        <w:t>1.1.4  PLD growth of epitaxial oxide heterostructures</w:t>
      </w:r>
    </w:p>
    <w:p w14:paraId="135C305A" w14:textId="77777777" w:rsidR="00B93F12" w:rsidRDefault="00B93F12">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52B7A664" w14:textId="77777777" w:rsidR="00B93F12" w:rsidRDefault="00B93F12">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6A771EEB" w14:textId="77777777" w:rsidR="00B93F12" w:rsidRDefault="00B93F12">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76EA2058"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0EE7BD4B" w14:textId="77777777" w:rsidR="00B93F12" w:rsidRDefault="00B93F12">
      <w:pPr>
        <w:pStyle w:val="Heading3"/>
        <w:rPr>
          <w:rFonts w:ascii="Arial" w:eastAsia="Times New Roman" w:hAnsi="Arial" w:cs="Arial"/>
        </w:rPr>
      </w:pPr>
      <w:r>
        <w:rPr>
          <w:rFonts w:ascii="Arial" w:eastAsia="Times New Roman" w:hAnsi="Arial" w:cs="Arial"/>
        </w:rPr>
        <w:t>1.1.6  Feasibility and prior findings on the chosen material series</w:t>
      </w:r>
    </w:p>
    <w:p w14:paraId="6B559A52" w14:textId="77777777" w:rsidR="00B93F12" w:rsidRDefault="00B93F12">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xml:space="preserve">, by contrast, has only been studied rudimentarily (polycrystalline, chemically deposited films [67, 87]) – consistent with its high vacancy formation energy. </w:t>
      </w:r>
      <w:r>
        <w:rPr>
          <w:rFonts w:ascii="Arial" w:hAnsi="Arial" w:cs="Arial"/>
          <w:sz w:val="21"/>
          <w:szCs w:val="21"/>
        </w:rPr>
        <w:t xml:space="preserve">For the manganite series,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is the best-documented family [4, E2, 75] and demonstrably switches between noble Pt contacts with oxygen-stoichiometry-dependent behaviour [89];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by contrast, offers no noble-metal-interface demonstration (tip-based multilevel recording [68], reactive-contact devices [69, 88], in-situ TEM of vacancy-driven transitions [19]).</w:t>
      </w:r>
      <w:r>
        <w:rPr>
          <w:rFonts w:ascii="Arial" w:hAnsi="Arial" w:cs="Arial"/>
          <w:sz w:val="21"/>
          <w:szCs w:val="21"/>
        </w:rPr>
        <w:t xml:space="preserve">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 – crucially, with Au-active noble-contact stacks among them [71, 25], which qualifies the cobaltite series under the same noble-interface criterion as the ferrites.</w:t>
      </w:r>
    </w:p>
    <w:p w14:paraId="4E0E1ED8" w14:textId="77777777" w:rsidR="00B93F12" w:rsidRDefault="00B93F12">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 </w:t>
      </w:r>
      <w:r>
        <w:rPr>
          <w:rFonts w:ascii="Arial" w:hAnsi="Arial" w:cs="Arial"/>
          <w:sz w:val="21"/>
          <w:szCs w:val="21"/>
        </w:rPr>
        <w:t xml:space="preserve">A systematic evidence audit along the descriptor chain – covalency vs. stoichiometry (XAS), EV vs. covalency, and switching at a noble-metal interface – underpins the materials strategy of this proposal: every programme series enters with a demonstrated noble-contact switching base and a documented descriptor axis. The ferrites combine the canonical covalency XAS [46] and quantitative EV(x) [31, 86] with inert-stack switching at the Sr-rich end member [16, 17]; the manganite series Pr1-xCaxMnO3 combines the published composition benchmark [75] with noble Pt-contact switching [89]; the cobaltites combine the most explicit covalency→EV link of all families [39] with Au-active end-member switching [71, 25]; and stoichiometry-controlled switching at a Pt interface is demonstrated for the cation stoichiometry of SrTiO3 [78]. The same audit, extended as a family screening across the oxide classes, identifies YBa2Cu3O7-δ (Au/YBCO/Au established and replicated [90]) and Gd-doped CeO2 (Pt/Pt crossbars with a composition series [14]) as the only further systems fulfilling all three criteria – reserved as pre-screened blind-validation candidates of the map (WP5).</w:t>
      </w:r>
    </w:p>
    <w:p w14:paraId="0EC22368" w14:textId="77777777" w:rsidR="00B93F12" w:rsidRDefault="00B93F12">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48D50594" w14:textId="77777777" w:rsidR="00B93F12" w:rsidRDefault="00B93F12">
      <w:pPr>
        <w:pStyle w:val="Heading2"/>
        <w:rPr>
          <w:rFonts w:ascii="Arial" w:eastAsia="Times New Roman" w:hAnsi="Arial" w:cs="Arial"/>
        </w:rPr>
      </w:pPr>
      <w:r>
        <w:rPr>
          <w:rFonts w:ascii="Arial" w:eastAsia="Times New Roman" w:hAnsi="Arial" w:cs="Arial"/>
        </w:rPr>
        <w:t>1.2  Preliminary work of the applicant</w:t>
      </w:r>
    </w:p>
    <w:p w14:paraId="2F43CC78" w14:textId="77777777" w:rsidR="00B93F12" w:rsidRDefault="00B93F12">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5707D8EE" w14:textId="77777777" w:rsidR="00B93F12" w:rsidRDefault="00B93F12">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631A0B49" w14:textId="77777777" w:rsidR="00B93F12" w:rsidRDefault="00B93F12">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792FCDC7" w14:textId="77777777" w:rsidR="00B93F12" w:rsidRDefault="00B93F12">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39F63877" w14:textId="77777777" w:rsidR="00B93F12" w:rsidRDefault="00B93F12">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t>
      </w:r>
      <w:r>
        <w:rPr>
          <w:rFonts w:ascii="Arial" w:hAnsi="Arial" w:cs="Arial"/>
          <w:sz w:val="21"/>
          <w:szCs w:val="21"/>
        </w:rPr>
        <w:t xml:space="preserve">Within the fellowship project “Covalency as an experimental descriptor of memristive switching beyond the perovskites: the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chain-oxygen series”, the applicant has grown epitaxial YBCO films with continuously tuned chain-oxygen content δ – the one oxide in which switching between two noble Au electrodes is already established and replicated – measured the site-resolved O-K/Cu-L covalency scale across the δ-series</w:t>
      </w:r>
      <w:r>
        <w:rPr>
          <w:rFonts w:ascii="Arial" w:hAnsi="Arial" w:cs="Arial"/>
          <w:sz w:val="21"/>
          <w:szCs w:val="21"/>
        </w:rPr>
        <w:t xml:space="preserve"> at the Stanford Synchrotron Radiation Lightsource (SSRL), and correlated it with the switching metrics of the same cells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35E0F9BC" w14:textId="77777777" w:rsidR="00B93F12" w:rsidRDefault="00B93F12">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12D9663C" w14:textId="77777777" w:rsidR="00B93F12" w:rsidRDefault="00B93F12">
      <w:pPr>
        <w:pStyle w:val="NormalWeb"/>
        <w:rPr>
          <w:rFonts w:ascii="Arial" w:hAnsi="Arial" w:cs="Arial"/>
          <w:sz w:val="21"/>
          <w:szCs w:val="21"/>
        </w:rPr>
      </w:pPr>
      <w:r>
        <w:rPr>
          <w:rFonts w:ascii="Arial" w:hAnsi="Arial" w:cs="Arial"/>
          <w:b/>
          <w:bCs/>
          <w:sz w:val="21"/>
          <w:szCs w:val="21"/>
        </w:rPr>
        <w:t>Project-relevant publications of the applicant:</w:t>
      </w:r>
    </w:p>
    <w:p w14:paraId="3933C378" w14:textId="77777777" w:rsidR="00B93F12" w:rsidRDefault="00B93F12">
      <w:pPr>
        <w:spacing w:after="60"/>
        <w:ind w:hanging="480"/>
        <w:divId w:val="2076389555"/>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11DEAADD" w14:textId="77777777" w:rsidR="00B93F12" w:rsidRDefault="00B93F12">
      <w:pPr>
        <w:spacing w:after="60"/>
        <w:ind w:hanging="480"/>
        <w:divId w:val="2076389555"/>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264D92B7" w14:textId="77777777" w:rsidR="00B93F12" w:rsidRDefault="00B93F12">
      <w:pPr>
        <w:spacing w:after="60"/>
        <w:ind w:hanging="480"/>
        <w:divId w:val="2076389555"/>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9023353" w14:textId="77777777" w:rsidR="00B93F12" w:rsidRDefault="00B93F12">
      <w:pPr>
        <w:spacing w:after="60"/>
        <w:ind w:hanging="480"/>
        <w:divId w:val="2076389555"/>
        <w:rPr>
          <w:rFonts w:ascii="Arial" w:hAnsi="Arial" w:cs="Arial"/>
          <w:sz w:val="18"/>
          <w:szCs w:val="18"/>
        </w:rPr>
      </w:pPr>
      <w:r>
        <w:rPr>
          <w:rFonts w:ascii="Arial" w:hAnsi="Arial" w:cs="Arial"/>
          <w:sz w:val="18"/>
          <w:szCs w:val="18"/>
        </w:rPr>
        <w:t xml:space="preserve">[E4] M. Buczek, [co-authors], W. C. Chueh, [working title: </w:t>
      </w:r>
      <w:r>
        <w:rPr>
          <w:rFonts w:ascii="Arial" w:hAnsi="Arial" w:cs="Arial"/>
          <w:sz w:val="18"/>
          <w:szCs w:val="18"/>
        </w:rPr>
        <w:t xml:space="preserve">A site-resolved covalency scale for noble-electrode YBa2Cu3O7-δ memristive devices</w:t>
      </w:r>
      <w:r>
        <w:rPr>
          <w:rFonts w:ascii="Arial" w:hAnsi="Arial" w:cs="Arial"/>
          <w:sz w:val="18"/>
          <w:szCs w:val="18"/>
        </w:rPr>
        <w:t xml:space="preserve">]. Manuscript in preparation (Feodor Lynen fellowship; update status at submission time).</w:t>
      </w:r>
    </w:p>
    <w:p w14:paraId="3477BD83" w14:textId="77777777" w:rsidR="00B93F12" w:rsidRDefault="00B93F12">
      <w:pPr>
        <w:pStyle w:val="muted1"/>
        <w:divId w:val="2076389555"/>
        <w:rPr>
          <w:rFonts w:ascii="Arial" w:hAnsi="Arial" w:cs="Arial"/>
        </w:rPr>
      </w:pPr>
      <w:r>
        <w:rPr>
          <w:rFonts w:ascii="Arial" w:hAnsi="Arial" w:cs="Arial"/>
        </w:rPr>
        <w:t>[Complete author lists and bibliographic details before submission; add patent application (NeuroSys) as [E5] if applicable.]</w:t>
      </w:r>
    </w:p>
    <w:p w14:paraId="70AE1391" w14:textId="77777777" w:rsidR="00B93F12" w:rsidRDefault="00B93F12">
      <w:pPr>
        <w:pStyle w:val="Heading1"/>
        <w:pageBreakBefore/>
        <w:rPr>
          <w:rFonts w:ascii="Arial" w:eastAsia="Times New Roman" w:hAnsi="Arial" w:cs="Arial"/>
        </w:rPr>
      </w:pPr>
      <w:r>
        <w:rPr>
          <w:rFonts w:ascii="Arial" w:eastAsia="Times New Roman" w:hAnsi="Arial" w:cs="Arial"/>
        </w:rPr>
        <w:t>2  Objectives and Work Programme</w:t>
      </w:r>
    </w:p>
    <w:p w14:paraId="61319EBB" w14:textId="77777777" w:rsidR="00B93F12" w:rsidRDefault="00B93F12">
      <w:pPr>
        <w:pStyle w:val="Heading2"/>
        <w:rPr>
          <w:rFonts w:ascii="Arial" w:eastAsia="Times New Roman" w:hAnsi="Arial" w:cs="Arial"/>
        </w:rPr>
      </w:pPr>
      <w:r>
        <w:rPr>
          <w:rFonts w:ascii="Arial" w:eastAsia="Times New Roman" w:hAnsi="Arial" w:cs="Arial"/>
        </w:rPr>
        <w:t>2.1  Anticipated total duration</w:t>
      </w:r>
    </w:p>
    <w:p w14:paraId="47A34BEB" w14:textId="77777777" w:rsidR="00B93F12" w:rsidRDefault="00B93F12">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5EA443FF" w14:textId="77777777" w:rsidR="00B93F12" w:rsidRDefault="00B93F12">
      <w:pPr>
        <w:pStyle w:val="Heading2"/>
        <w:rPr>
          <w:rFonts w:ascii="Arial" w:eastAsia="Times New Roman" w:hAnsi="Arial" w:cs="Arial"/>
        </w:rPr>
      </w:pPr>
      <w:r>
        <w:rPr>
          <w:rFonts w:ascii="Arial" w:eastAsia="Times New Roman" w:hAnsi="Arial" w:cs="Arial"/>
        </w:rPr>
        <w:t>2.2  Objectives</w:t>
      </w:r>
    </w:p>
    <w:p w14:paraId="5ED16E5E" w14:textId="77777777" w:rsidR="00B93F12" w:rsidRDefault="00B93F12">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2383F919" w14:textId="77777777" w:rsidR="00B93F12" w:rsidRDefault="00B93F12">
      <w:pPr>
        <w:pStyle w:val="NormalWeb"/>
        <w:rPr>
          <w:rFonts w:ascii="Arial" w:hAnsi="Arial" w:cs="Arial"/>
          <w:sz w:val="21"/>
          <w:szCs w:val="21"/>
        </w:rPr>
      </w:pPr>
      <w:r>
        <w:rPr>
          <w:rFonts w:ascii="Arial" w:hAnsi="Arial" w:cs="Arial"/>
          <w:sz w:val="21"/>
          <w:szCs w:val="21"/>
        </w:rPr>
        <w:t>Three testable hypotheses follow:</w:t>
      </w:r>
    </w:p>
    <w:p w14:paraId="18F7EB9B"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7A1663A2"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47F9453F"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40E2646B"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4833313D" w14:textId="77777777" w:rsidR="00B93F12" w:rsidRDefault="00B93F12">
      <w:pPr>
        <w:pStyle w:val="Heading2"/>
        <w:rPr>
          <w:rFonts w:ascii="Arial" w:eastAsia="Times New Roman" w:hAnsi="Arial" w:cs="Arial"/>
        </w:rPr>
      </w:pPr>
      <w:r>
        <w:rPr>
          <w:rFonts w:ascii="Arial" w:eastAsia="Times New Roman" w:hAnsi="Arial" w:cs="Arial"/>
        </w:rPr>
        <w:t>2.3  Materials strategy: covalency as an isolated control variable</w:t>
      </w:r>
    </w:p>
    <w:p w14:paraId="6EF4DF3A" w14:textId="77777777" w:rsidR="00B93F12" w:rsidRDefault="00B93F12">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4324ADC1"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712A9E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2 – </w:t>
      </w:r>
      <w:r>
        <w:rPr>
          <w:rFonts w:ascii="Arial" w:eastAsia="Times New Roman" w:hAnsi="Arial" w:cs="Arial"/>
          <w:b/>
          <w:bCs/>
          <w:sz w:val="21"/>
          <w:szCs w:val="21"/>
        </w:rPr>
        <w:t xml:space="preserve">Pr</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Ca</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MnO</w:t>
      </w:r>
      <w:r>
        <w:rPr>
          <w:rFonts w:ascii="Arial" w:eastAsia="Times New Roman" w:hAnsi="Arial" w:cs="Arial"/>
          <w:b/>
          <w:bCs/>
          <w:sz w:val="21"/>
          <w:szCs w:val="21"/>
          <w:vertAlign w:val="subscript"/>
        </w:rPr>
        <w:t xml:space="preserve">3</w:t>
      </w:r>
      <w:r>
        <w:rPr>
          <w:rFonts w:ascii="Arial" w:eastAsia="Times New Roman" w:hAnsi="Arial" w:cs="Arial"/>
          <w:b/>
          <w:bCs/>
          <w:sz w:val="21"/>
          <w:szCs w:val="21"/>
        </w:rPr>
        <w:t xml:space="preserve"> (x = 0.1 … 0.8): Reference system with robust, well-documented VCM behaviour [4–6] and the published composition benchmark of Asanuma et al. [75], plus a demonstrated noble-contact switching base [89]; the applicant’s PCMO expertise [E1–E3] de-risks growth, processing and metrology.</w:t>
      </w:r>
    </w:p>
    <w:p w14:paraId="0B09C9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3 – </w:t>
      </w:r>
      <w:r>
        <w:rPr>
          <w:rFonts w:ascii="Arial" w:eastAsia="Times New Roman" w:hAnsi="Arial" w:cs="Arial"/>
          <w:b/>
          <w:bCs/>
          <w:sz w:val="21"/>
          <w:szCs w:val="21"/>
        </w:rPr>
        <w:t xml:space="preserve">La</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Sr</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CoO</w:t>
      </w:r>
      <w:r>
        <w:rPr>
          <w:rFonts w:ascii="Arial" w:eastAsia="Times New Roman" w:hAnsi="Arial" w:cs="Arial"/>
          <w:b/>
          <w:bCs/>
          <w:sz w:val="21"/>
          <w:szCs w:val="21"/>
          <w:vertAlign w:val="subscript"/>
        </w:rPr>
        <w:t xml:space="preserve">3-δ</w:t>
      </w:r>
      <w:r>
        <w:rPr>
          <w:rFonts w:ascii="Arial" w:eastAsia="Times New Roman" w:hAnsi="Arial" w:cs="Arial"/>
          <w:b/>
          <w:bCs/>
          <w:sz w:val="21"/>
          <w:szCs w:val="21"/>
        </w:rPr>
        <w:t xml:space="preserve"> (second project phase): Densification and extension of the map, entering with a switching-proven noble-contact anchor – the SrCoO2.5 end member switches in Au-active stacks [71, 25] – and with the most explicitly documented covalency→EV link of all families (experimental defect chemistry plus DFT [39]); the cross-comparison Fe/Mn/Co separates covalency-driven from B-cation-specific effects (spin state, bandwidth) and tests the transferability of the descriptor.</w:t>
      </w:r>
    </w:p>
    <w:p w14:paraId="117E2F7B" w14:textId="77777777" w:rsidR="00B93F12" w:rsidRDefault="00B93F12">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14:paraId="30F0347C" w14:textId="77777777" w:rsidR="00B93F12" w:rsidRDefault="00B93F12">
      <w:pPr>
        <w:pStyle w:val="Heading2"/>
        <w:rPr>
          <w:rFonts w:ascii="Arial" w:eastAsia="Times New Roman" w:hAnsi="Arial" w:cs="Arial"/>
        </w:rPr>
      </w:pPr>
      <w:r>
        <w:rPr>
          <w:rFonts w:ascii="Arial" w:eastAsia="Times New Roman" w:hAnsi="Arial" w:cs="Arial"/>
        </w:rPr>
        <w:t>2.4  Work programme</w:t>
      </w:r>
    </w:p>
    <w:p w14:paraId="0A1A58BC" w14:textId="77777777" w:rsidR="00B93F12" w:rsidRDefault="00B93F12">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2FCAD60D" w14:textId="77777777" w:rsidR="00B93F12" w:rsidRDefault="00B93F12">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xml:space="preserve">) during growth and cool-down; structural characterisation (XRD/reciprocal space maps for the strain state, AFM for terrace morphology); basic electrical characterisation (transport, Hall). WP1 starts with a decisive methodological head start: the complete descriptor workflow – </w:t>
      </w:r>
      <w:r>
        <w:rPr>
          <w:rFonts w:ascii="Arial" w:hAnsi="Arial" w:cs="Arial"/>
          <w:sz w:val="21"/>
          <w:szCs w:val="21"/>
        </w:rPr>
        <w:t xml:space="preserve">growth of a doping series, XAS covalency quantification, noble-electrode devices, correlation against switching data – has been established and de-risked on the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pilot series during the applicant’s Feodor Lynen project [E4] and is transferred here to the perovskite series</w:t>
      </w:r>
      <w:r>
        <w:rPr>
          <w:rFonts w:ascii="Arial" w:hAnsi="Arial" w:cs="Arial"/>
          <w:sz w:val="21"/>
          <w:szCs w:val="21"/>
        </w:rPr>
        <w:t xml:space="preserve"> and to the group’s own infrastructure.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p>
    <w:p w14:paraId="13827B94" w14:textId="77777777" w:rsidR="00B93F12" w:rsidRDefault="00B93F12">
      <w:pPr>
        <w:pStyle w:val="Heading3"/>
        <w:rPr>
          <w:rFonts w:ascii="Arial" w:eastAsia="Times New Roman" w:hAnsi="Arial" w:cs="Arial"/>
        </w:rPr>
      </w:pPr>
      <w:r>
        <w:rPr>
          <w:rFonts w:ascii="Arial" w:eastAsia="Times New Roman" w:hAnsi="Arial" w:cs="Arial"/>
        </w:rPr>
        <w:t xml:space="preserve">WP2 – Device integration (doctoral researcher 2, supported by group leader; years 1–5)</w:t>
      </w:r>
    </w:p>
    <w:p w14:paraId="0FCBA1DA" w14:textId="77777777" w:rsidR="00B93F12" w:rsidRDefault="00B93F12">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120CEDCF" w14:textId="77777777" w:rsidR="00B93F12" w:rsidRDefault="00B93F12">
      <w:pPr>
        <w:pStyle w:val="Heading3"/>
        <w:rPr>
          <w:rFonts w:ascii="Arial" w:eastAsia="Times New Roman" w:hAnsi="Arial" w:cs="Arial"/>
        </w:rPr>
      </w:pPr>
      <w:r>
        <w:rPr>
          <w:rFonts w:ascii="Arial" w:eastAsia="Times New Roman" w:hAnsi="Arial" w:cs="Arial"/>
        </w:rPr>
        <w:t>WP3 – Memristive characterisation (doctoral researcher 2; years 2–6)</w:t>
      </w:r>
    </w:p>
    <w:p w14:paraId="150BC7DD" w14:textId="77777777" w:rsidR="00B93F12" w:rsidRDefault="00B93F12">
      <w:pPr>
        <w:pStyle w:val="NormalWeb"/>
        <w:rPr>
          <w:rFonts w:ascii="Arial" w:hAnsi="Arial" w:cs="Arial"/>
          <w:sz w:val="21"/>
          <w:szCs w:val="21"/>
        </w:rPr>
      </w:pPr>
      <w:r>
        <w:rPr>
          <w:rFonts w:ascii="Arial" w:hAnsi="Arial" w:cs="Arial"/>
          <w:sz w:val="21"/>
          <w:szCs w:val="21"/>
        </w:rPr>
        <w:t>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7FFF1C75" w14:textId="77777777" w:rsidR="00B93F12" w:rsidRDefault="00B93F12">
      <w:pPr>
        <w:pStyle w:val="Heading3"/>
        <w:rPr>
          <w:rFonts w:ascii="Arial" w:eastAsia="Times New Roman" w:hAnsi="Arial" w:cs="Arial"/>
        </w:rPr>
      </w:pPr>
      <w:r>
        <w:rPr>
          <w:rFonts w:ascii="Arial" w:eastAsia="Times New Roman" w:hAnsi="Arial" w:cs="Arial"/>
        </w:rPr>
        <w:t>WP4 – X-ray absorption spectroscopy (doctoral researcher 1, group leader; years 2–6)</w:t>
      </w:r>
    </w:p>
    <w:p w14:paraId="78F3B707" w14:textId="77777777" w:rsidR="00B93F12" w:rsidRDefault="00B93F12">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p>
    <w:p w14:paraId="38C17191" w14:textId="77777777" w:rsidR="00B93F12" w:rsidRDefault="00B93F12">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702EA269" w14:textId="77777777" w:rsidR="00B93F12" w:rsidRDefault="00B93F12">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 the family screening pre-qualifies YBa2Cu3O7-δ (Au-contact switching established [90]) and Ce1-xGdxO2-δ (Pt/Pt crossbar platform [14]) as candidates spanning two further structure classes – quantitative prediction, synthesis and test.</w:t>
      </w:r>
    </w:p>
    <w:p w14:paraId="48199513" w14:textId="77777777" w:rsidR="00B93F12" w:rsidRDefault="00B93F12">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6ACFA940"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878C85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CAB055A"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7F933A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E402F9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F6D9EA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B6D13E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2A0B86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40D6E94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9CE7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7A3A41"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198A3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D7EE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EEC08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5D865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6819B" w14:textId="77777777" w:rsidR="00B93F12" w:rsidRDefault="00B93F12">
            <w:pPr>
              <w:spacing w:before="120" w:after="200"/>
              <w:jc w:val="center"/>
              <w:rPr>
                <w:rFonts w:ascii="Arial" w:eastAsia="Times New Roman" w:hAnsi="Arial" w:cs="Arial"/>
                <w:sz w:val="19"/>
                <w:szCs w:val="19"/>
              </w:rPr>
            </w:pPr>
          </w:p>
        </w:tc>
      </w:tr>
      <w:tr w:rsidR="00000000" w14:paraId="02CC3C8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C03E0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19833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CABC0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D22F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53AC0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AA4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EC298" w14:textId="77777777" w:rsidR="00B93F12" w:rsidRDefault="00B93F12">
            <w:pPr>
              <w:spacing w:before="120" w:after="200"/>
              <w:jc w:val="center"/>
              <w:rPr>
                <w:rFonts w:ascii="Arial" w:eastAsia="Times New Roman" w:hAnsi="Arial" w:cs="Arial"/>
                <w:sz w:val="19"/>
                <w:szCs w:val="19"/>
              </w:rPr>
            </w:pPr>
          </w:p>
        </w:tc>
      </w:tr>
      <w:tr w:rsidR="00000000" w14:paraId="33F7999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3BC64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33C3C8"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EA9C9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6D50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83F6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94E048"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6CF4CA"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05A28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CAFB4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16EE6B"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C562F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72DE1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BE3CC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F12F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F636D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74F257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5672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428CD"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FE1930" w14:textId="77777777" w:rsidR="00B93F12" w:rsidRDefault="00B93F1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1922A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541154"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298C1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15B7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225D57BE" w14:textId="77777777" w:rsidR="00B93F12" w:rsidRDefault="00B93F12">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1E53CE8F"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FBE41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76B59C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C5FB29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278C1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280D28"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8D7CC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F83E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3C74D7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D902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4445A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31BEE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104D60E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78EC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0C3EE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D6BE3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0A3014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8BA5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54792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B934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5AE8CA6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8D945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16EA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7FDA5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56FE62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A96FC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317B5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55508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7824B298" w14:textId="77777777" w:rsidR="00B93F12" w:rsidRDefault="00B93F12">
      <w:pPr>
        <w:pStyle w:val="Heading2"/>
        <w:rPr>
          <w:rFonts w:ascii="Arial" w:eastAsia="Times New Roman" w:hAnsi="Arial" w:cs="Arial"/>
        </w:rPr>
      </w:pPr>
      <w:r>
        <w:rPr>
          <w:rFonts w:ascii="Arial" w:eastAsia="Times New Roman" w:hAnsi="Arial" w:cs="Arial"/>
        </w:rPr>
        <w:t>2.6  Handling of research data</w:t>
      </w:r>
    </w:p>
    <w:p w14:paraId="32E47565" w14:textId="77777777" w:rsidR="00B93F12" w:rsidRDefault="00B93F12">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0178670E" w14:textId="77777777" w:rsidR="00B93F12" w:rsidRDefault="00B93F12">
      <w:pPr>
        <w:pStyle w:val="Heading2"/>
        <w:rPr>
          <w:rFonts w:ascii="Arial" w:eastAsia="Times New Roman" w:hAnsi="Arial" w:cs="Arial"/>
        </w:rPr>
      </w:pPr>
      <w:r>
        <w:rPr>
          <w:rFonts w:ascii="Arial" w:eastAsia="Times New Roman" w:hAnsi="Arial" w:cs="Arial"/>
        </w:rPr>
        <w:t>2.7  Relevance and exploitation perspective</w:t>
      </w:r>
    </w:p>
    <w:p w14:paraId="031642E1" w14:textId="77777777" w:rsidR="00B93F12" w:rsidRDefault="00B93F12">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08106D76" w14:textId="77777777" w:rsidR="00B93F12" w:rsidRDefault="00B93F12">
      <w:pPr>
        <w:pStyle w:val="Heading1"/>
        <w:pageBreakBefore/>
        <w:rPr>
          <w:rFonts w:ascii="Arial" w:eastAsia="Times New Roman" w:hAnsi="Arial" w:cs="Arial"/>
        </w:rPr>
      </w:pPr>
      <w:r>
        <w:rPr>
          <w:rFonts w:ascii="Arial" w:eastAsia="Times New Roman" w:hAnsi="Arial" w:cs="Arial"/>
        </w:rPr>
        <w:t>3  Bibliography</w:t>
      </w:r>
    </w:p>
    <w:p w14:paraId="7943FDEC" w14:textId="77777777" w:rsidR="00B93F12" w:rsidRDefault="00B93F12">
      <w:pPr>
        <w:spacing w:after="60"/>
        <w:ind w:hanging="480"/>
        <w:divId w:val="336543102"/>
        <w:rPr>
          <w:rFonts w:ascii="Arial" w:hAnsi="Arial" w:cs="Arial"/>
          <w:sz w:val="18"/>
          <w:szCs w:val="18"/>
        </w:rPr>
      </w:pPr>
      <w:r>
        <w:rPr>
          <w:rFonts w:ascii="Arial" w:hAnsi="Arial" w:cs="Arial"/>
          <w:sz w:val="18"/>
          <w:szCs w:val="18"/>
        </w:rPr>
        <w:t>[1] R. Waser, M. Aono, Nanoionics-based resistive switching memories. Nature Materials 6, 833–840 (2007).</w:t>
      </w:r>
    </w:p>
    <w:p w14:paraId="4071452F" w14:textId="77777777" w:rsidR="00B93F12" w:rsidRDefault="00B93F12">
      <w:pPr>
        <w:spacing w:after="60"/>
        <w:ind w:hanging="480"/>
        <w:divId w:val="336543102"/>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547805F2" w14:textId="77777777" w:rsidR="00B93F12" w:rsidRDefault="00B93F12">
      <w:pPr>
        <w:spacing w:after="60"/>
        <w:ind w:hanging="480"/>
        <w:divId w:val="336543102"/>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1B890802" w14:textId="77777777" w:rsidR="00B93F12" w:rsidRDefault="00B93F12">
      <w:pPr>
        <w:spacing w:after="60"/>
        <w:ind w:hanging="480"/>
        <w:divId w:val="336543102"/>
        <w:rPr>
          <w:rFonts w:ascii="Arial" w:hAnsi="Arial" w:cs="Arial"/>
          <w:sz w:val="18"/>
          <w:szCs w:val="18"/>
        </w:rPr>
      </w:pPr>
      <w:r>
        <w:rPr>
          <w:rFonts w:ascii="Arial" w:hAnsi="Arial" w:cs="Arial"/>
          <w:sz w:val="18"/>
          <w:szCs w:val="18"/>
        </w:rPr>
        <w:t>[4] A. Sawa, Resistive switching in transition metal oxides. Materials Today 11(6), 28–36 (2008).</w:t>
      </w:r>
    </w:p>
    <w:p w14:paraId="7304E833" w14:textId="77777777" w:rsidR="00B93F12" w:rsidRDefault="00B93F12">
      <w:pPr>
        <w:spacing w:after="60"/>
        <w:ind w:hanging="480"/>
        <w:divId w:val="336543102"/>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1E4CE491" w14:textId="77777777" w:rsidR="00B93F12" w:rsidRDefault="00B93F12">
      <w:pPr>
        <w:spacing w:after="60"/>
        <w:ind w:hanging="480"/>
        <w:divId w:val="336543102"/>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06E941DB" w14:textId="77777777" w:rsidR="00B93F12" w:rsidRDefault="00B93F12">
      <w:pPr>
        <w:spacing w:after="60"/>
        <w:ind w:hanging="480"/>
        <w:divId w:val="336543102"/>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3D90245C" w14:textId="77777777" w:rsidR="00B93F12" w:rsidRDefault="00B93F12">
      <w:pPr>
        <w:spacing w:after="60"/>
        <w:ind w:hanging="480"/>
        <w:divId w:val="336543102"/>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5DCFA0EE" w14:textId="77777777" w:rsidR="00B93F12" w:rsidRDefault="00B93F12">
      <w:pPr>
        <w:spacing w:after="60"/>
        <w:ind w:hanging="480"/>
        <w:divId w:val="336543102"/>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015DBD8E" w14:textId="77777777" w:rsidR="00B93F12" w:rsidRDefault="00B93F12">
      <w:pPr>
        <w:spacing w:after="60"/>
        <w:ind w:hanging="480"/>
        <w:divId w:val="336543102"/>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043DA411" w14:textId="77777777" w:rsidR="00B93F12" w:rsidRDefault="00B93F12">
      <w:pPr>
        <w:spacing w:after="60"/>
        <w:ind w:hanging="480"/>
        <w:divId w:val="336543102"/>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4BCBCB7C" w14:textId="77777777" w:rsidR="00B93F12" w:rsidRDefault="00B93F12">
      <w:pPr>
        <w:spacing w:after="60"/>
        <w:ind w:hanging="480"/>
        <w:divId w:val="336543102"/>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644A38EE" w14:textId="77777777" w:rsidR="00B93F12" w:rsidRDefault="00B93F12">
      <w:pPr>
        <w:spacing w:after="60"/>
        <w:ind w:hanging="480"/>
        <w:divId w:val="336543102"/>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0E76FE19" w14:textId="77777777" w:rsidR="00B93F12" w:rsidRDefault="00B93F12">
      <w:pPr>
        <w:spacing w:after="60"/>
        <w:ind w:hanging="480"/>
        <w:divId w:val="336543102"/>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05FEAD53" w14:textId="77777777" w:rsidR="00B93F12" w:rsidRDefault="00B93F12">
      <w:pPr>
        <w:spacing w:after="60"/>
        <w:ind w:hanging="480"/>
        <w:divId w:val="336543102"/>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164BEB06" w14:textId="77777777" w:rsidR="00B93F12" w:rsidRDefault="00B93F12">
      <w:pPr>
        <w:spacing w:after="60"/>
        <w:ind w:hanging="480"/>
        <w:divId w:val="336543102"/>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7983FC8C" w14:textId="77777777" w:rsidR="00B93F12" w:rsidRDefault="00B93F12">
      <w:pPr>
        <w:spacing w:after="60"/>
        <w:ind w:hanging="480"/>
        <w:divId w:val="336543102"/>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577C8FFA" w14:textId="77777777" w:rsidR="00B93F12" w:rsidRDefault="00B93F12">
      <w:pPr>
        <w:spacing w:after="60"/>
        <w:ind w:hanging="480"/>
        <w:divId w:val="336543102"/>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60AC533E" w14:textId="77777777" w:rsidR="00B93F12" w:rsidRDefault="00B93F12">
      <w:pPr>
        <w:spacing w:after="60"/>
        <w:ind w:hanging="480"/>
        <w:divId w:val="336543102"/>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4E02612B" w14:textId="77777777" w:rsidR="00B93F12" w:rsidRDefault="00B93F12">
      <w:pPr>
        <w:spacing w:after="60"/>
        <w:ind w:hanging="480"/>
        <w:divId w:val="336543102"/>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4C567AD3" w14:textId="77777777" w:rsidR="00B93F12" w:rsidRDefault="00B93F12">
      <w:pPr>
        <w:spacing w:after="60"/>
        <w:ind w:hanging="480"/>
        <w:divId w:val="336543102"/>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2CB2C014" w14:textId="77777777" w:rsidR="00B93F12" w:rsidRDefault="00B93F12">
      <w:pPr>
        <w:spacing w:after="60"/>
        <w:ind w:hanging="480"/>
        <w:divId w:val="336543102"/>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607F876B" w14:textId="77777777" w:rsidR="00B93F12" w:rsidRDefault="00B93F12">
      <w:pPr>
        <w:spacing w:after="60"/>
        <w:ind w:hanging="480"/>
        <w:divId w:val="336543102"/>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177B1101"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674813E0" w14:textId="77777777" w:rsidR="00B93F12" w:rsidRDefault="00B93F12">
      <w:pPr>
        <w:spacing w:after="60"/>
        <w:ind w:hanging="480"/>
        <w:divId w:val="336543102"/>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532F6146" w14:textId="77777777" w:rsidR="00B93F12" w:rsidRDefault="00B93F12">
      <w:pPr>
        <w:spacing w:after="60"/>
        <w:ind w:hanging="480"/>
        <w:divId w:val="336543102"/>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5BB39FA8" w14:textId="77777777" w:rsidR="00B93F12" w:rsidRDefault="00B93F12">
      <w:pPr>
        <w:spacing w:after="60"/>
        <w:ind w:hanging="480"/>
        <w:divId w:val="336543102"/>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1500D915" w14:textId="77777777" w:rsidR="00B93F12" w:rsidRDefault="00B93F12">
      <w:pPr>
        <w:spacing w:after="60"/>
        <w:ind w:hanging="480"/>
        <w:divId w:val="336543102"/>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5C94C76E" w14:textId="77777777" w:rsidR="00B93F12" w:rsidRDefault="00B93F12">
      <w:pPr>
        <w:spacing w:after="60"/>
        <w:ind w:hanging="480"/>
        <w:divId w:val="336543102"/>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52B3A7C4" w14:textId="77777777" w:rsidR="00B93F12" w:rsidRDefault="00B93F12">
      <w:pPr>
        <w:spacing w:after="60"/>
        <w:ind w:hanging="480"/>
        <w:divId w:val="336543102"/>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5137FE1E" w14:textId="77777777" w:rsidR="00B93F12" w:rsidRDefault="00B93F12">
      <w:pPr>
        <w:spacing w:after="60"/>
        <w:ind w:hanging="480"/>
        <w:divId w:val="336543102"/>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6C1C9EA9" w14:textId="77777777" w:rsidR="00B93F12" w:rsidRDefault="00B93F12">
      <w:pPr>
        <w:spacing w:after="60"/>
        <w:ind w:hanging="480"/>
        <w:divId w:val="336543102"/>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20FFAA77" w14:textId="77777777" w:rsidR="00B93F12" w:rsidRDefault="00B93F12">
      <w:pPr>
        <w:spacing w:after="60"/>
        <w:ind w:hanging="480"/>
        <w:divId w:val="336543102"/>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B3B4E75" w14:textId="77777777" w:rsidR="00B93F12" w:rsidRDefault="00B93F12">
      <w:pPr>
        <w:spacing w:after="60"/>
        <w:ind w:hanging="480"/>
        <w:divId w:val="336543102"/>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7D3D8CF5" w14:textId="77777777" w:rsidR="00B93F12" w:rsidRDefault="00B93F12">
      <w:pPr>
        <w:spacing w:after="60"/>
        <w:ind w:hanging="480"/>
        <w:divId w:val="336543102"/>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3D558485" w14:textId="77777777" w:rsidR="00B93F12" w:rsidRDefault="00B93F12">
      <w:pPr>
        <w:spacing w:after="60"/>
        <w:ind w:hanging="480"/>
        <w:divId w:val="336543102"/>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4C9C35A" w14:textId="77777777" w:rsidR="00B93F12" w:rsidRDefault="00B93F12">
      <w:pPr>
        <w:spacing w:after="60"/>
        <w:ind w:hanging="480"/>
        <w:divId w:val="336543102"/>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1B580FCA"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1C6285C9" w14:textId="77777777" w:rsidR="00B93F12" w:rsidRDefault="00B93F12">
      <w:pPr>
        <w:spacing w:after="60"/>
        <w:ind w:hanging="480"/>
        <w:divId w:val="336543102"/>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0AB33BDA" w14:textId="77777777" w:rsidR="00B93F12" w:rsidRDefault="00B93F12">
      <w:pPr>
        <w:spacing w:after="60"/>
        <w:ind w:hanging="480"/>
        <w:divId w:val="336543102"/>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190BC6C8" w14:textId="77777777" w:rsidR="00B93F12" w:rsidRDefault="00B93F12">
      <w:pPr>
        <w:spacing w:after="60"/>
        <w:ind w:hanging="480"/>
        <w:divId w:val="336543102"/>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73D59D0D" w14:textId="77777777" w:rsidR="00B93F12" w:rsidRDefault="00B93F12">
      <w:pPr>
        <w:spacing w:after="60"/>
        <w:ind w:hanging="480"/>
        <w:divId w:val="336543102"/>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64F6F6FA" w14:textId="77777777" w:rsidR="00B93F12" w:rsidRDefault="00B93F12">
      <w:pPr>
        <w:spacing w:after="60"/>
        <w:ind w:hanging="480"/>
        <w:divId w:val="336543102"/>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716DCD61" w14:textId="77777777" w:rsidR="00B93F12" w:rsidRDefault="00B93F12">
      <w:pPr>
        <w:spacing w:after="60"/>
        <w:ind w:hanging="480"/>
        <w:divId w:val="336543102"/>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1C6CE60C" w14:textId="77777777" w:rsidR="00B93F12" w:rsidRDefault="00B93F12">
      <w:pPr>
        <w:spacing w:after="60"/>
        <w:ind w:hanging="480"/>
        <w:divId w:val="336543102"/>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18C20BBD" w14:textId="77777777" w:rsidR="00B93F12" w:rsidRDefault="00B93F12">
      <w:pPr>
        <w:spacing w:after="60"/>
        <w:ind w:hanging="480"/>
        <w:divId w:val="336543102"/>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7492008" w14:textId="77777777" w:rsidR="00B93F12" w:rsidRDefault="00B93F12">
      <w:pPr>
        <w:spacing w:after="60"/>
        <w:ind w:hanging="480"/>
        <w:divId w:val="336543102"/>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7B5ED2F5" w14:textId="77777777" w:rsidR="00B93F12" w:rsidRDefault="00B93F12">
      <w:pPr>
        <w:spacing w:after="60"/>
        <w:ind w:hanging="480"/>
        <w:divId w:val="336543102"/>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7FCFEB19" w14:textId="77777777" w:rsidR="00B93F12" w:rsidRDefault="00B93F12">
      <w:pPr>
        <w:spacing w:after="60"/>
        <w:ind w:hanging="480"/>
        <w:divId w:val="336543102"/>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667B2613" w14:textId="77777777" w:rsidR="00B93F12" w:rsidRDefault="00B93F12">
      <w:pPr>
        <w:spacing w:after="60"/>
        <w:ind w:hanging="480"/>
        <w:divId w:val="336543102"/>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1D709AD2" w14:textId="77777777" w:rsidR="00B93F12" w:rsidRDefault="00B93F12">
      <w:pPr>
        <w:spacing w:after="60"/>
        <w:ind w:hanging="480"/>
        <w:divId w:val="336543102"/>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03F01DB2" w14:textId="77777777" w:rsidR="00B93F12" w:rsidRDefault="00B93F12">
      <w:pPr>
        <w:spacing w:after="60"/>
        <w:ind w:hanging="480"/>
        <w:divId w:val="336543102"/>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2DAFDA01" w14:textId="77777777" w:rsidR="00B93F12" w:rsidRDefault="00B93F12">
      <w:pPr>
        <w:spacing w:after="60"/>
        <w:ind w:hanging="480"/>
        <w:divId w:val="336543102"/>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4E4B35E0" w14:textId="77777777" w:rsidR="00B93F12" w:rsidRDefault="00B93F12">
      <w:pPr>
        <w:spacing w:after="60"/>
        <w:ind w:hanging="480"/>
        <w:divId w:val="336543102"/>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365EA03A" w14:textId="77777777" w:rsidR="00B93F12" w:rsidRDefault="00B93F12">
      <w:pPr>
        <w:spacing w:after="60"/>
        <w:ind w:hanging="480"/>
        <w:divId w:val="336543102"/>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6735A058" w14:textId="77777777" w:rsidR="00B93F12" w:rsidRDefault="00B93F12">
      <w:pPr>
        <w:spacing w:after="60"/>
        <w:ind w:hanging="480"/>
        <w:divId w:val="336543102"/>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0F55308E" w14:textId="77777777" w:rsidR="00B93F12" w:rsidRDefault="00B93F12">
      <w:pPr>
        <w:spacing w:after="60"/>
        <w:ind w:hanging="480"/>
        <w:divId w:val="336543102"/>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5234703B" w14:textId="77777777" w:rsidR="00B93F12" w:rsidRDefault="00B93F12">
      <w:pPr>
        <w:spacing w:after="60"/>
        <w:ind w:hanging="480"/>
        <w:divId w:val="336543102"/>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40C26D90" w14:textId="77777777" w:rsidR="00B93F12" w:rsidRDefault="00B93F12">
      <w:pPr>
        <w:spacing w:after="60"/>
        <w:ind w:hanging="480"/>
        <w:divId w:val="336543102"/>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7DF1F6E3" w14:textId="77777777" w:rsidR="00B93F12" w:rsidRDefault="00B93F12">
      <w:pPr>
        <w:spacing w:after="60"/>
        <w:ind w:hanging="480"/>
        <w:divId w:val="336543102"/>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469970E7" w14:textId="77777777" w:rsidR="00B93F12" w:rsidRDefault="00B93F12">
      <w:pPr>
        <w:spacing w:after="60"/>
        <w:ind w:hanging="480"/>
        <w:divId w:val="336543102"/>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078D334D" w14:textId="77777777" w:rsidR="00B93F12" w:rsidRDefault="00B93F12">
      <w:pPr>
        <w:spacing w:after="60"/>
        <w:ind w:hanging="480"/>
        <w:divId w:val="336543102"/>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4EF5BB3B" w14:textId="77777777" w:rsidR="00B93F12" w:rsidRDefault="00B93F12">
      <w:pPr>
        <w:spacing w:after="60"/>
        <w:ind w:hanging="480"/>
        <w:divId w:val="336543102"/>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441CB15B" w14:textId="77777777" w:rsidR="00B93F12" w:rsidRDefault="00B93F12">
      <w:pPr>
        <w:spacing w:after="60"/>
        <w:ind w:hanging="480"/>
        <w:divId w:val="336543102"/>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1BCCD19E" w14:textId="77777777" w:rsidR="00B93F12" w:rsidRDefault="00B93F12">
      <w:pPr>
        <w:spacing w:after="60"/>
        <w:ind w:hanging="480"/>
        <w:divId w:val="336543102"/>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1B9260E9" w14:textId="77777777" w:rsidR="00B93F12" w:rsidRDefault="00B93F12">
      <w:pPr>
        <w:spacing w:after="60"/>
        <w:ind w:hanging="480"/>
        <w:divId w:val="336543102"/>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599C7B32" w14:textId="77777777" w:rsidR="00B93F12" w:rsidRDefault="00B93F12">
      <w:pPr>
        <w:spacing w:after="60"/>
        <w:ind w:hanging="480"/>
        <w:divId w:val="336543102"/>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32F21FA" w14:textId="77777777" w:rsidR="00B93F12" w:rsidRDefault="00B93F12">
      <w:pPr>
        <w:spacing w:after="60"/>
        <w:ind w:hanging="480"/>
        <w:divId w:val="336543102"/>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2237547B" w14:textId="77777777" w:rsidR="00B93F12" w:rsidRDefault="00B93F12">
      <w:pPr>
        <w:spacing w:after="60"/>
        <w:ind w:hanging="480"/>
        <w:divId w:val="336543102"/>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3FB0B24C" w14:textId="77777777" w:rsidR="00B93F12" w:rsidRDefault="00B93F12">
      <w:pPr>
        <w:spacing w:after="60"/>
        <w:ind w:hanging="480"/>
        <w:divId w:val="336543102"/>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78B4EF9D" w14:textId="77777777" w:rsidR="00B93F12" w:rsidRDefault="00B93F12">
      <w:pPr>
        <w:spacing w:after="60"/>
        <w:ind w:hanging="480"/>
        <w:divId w:val="336543102"/>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50594A5A" w14:textId="77777777" w:rsidR="00B93F12" w:rsidRDefault="00B93F12">
      <w:pPr>
        <w:spacing w:after="60"/>
        <w:ind w:hanging="480"/>
        <w:divId w:val="336543102"/>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0C864354" w14:textId="77777777" w:rsidR="00B93F12" w:rsidRDefault="00B93F12">
      <w:pPr>
        <w:spacing w:after="60"/>
        <w:ind w:hanging="480"/>
        <w:divId w:val="336543102"/>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15D19ED2" w14:textId="77777777" w:rsidR="00B93F12" w:rsidRDefault="00B93F12">
      <w:pPr>
        <w:spacing w:after="60"/>
        <w:ind w:hanging="480"/>
        <w:divId w:val="336543102"/>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25C6A5B3" w14:textId="77777777" w:rsidR="00B93F12" w:rsidRDefault="00B93F12">
      <w:pPr>
        <w:spacing w:after="60"/>
        <w:ind w:hanging="480"/>
        <w:divId w:val="336543102"/>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50CF7B79" w14:textId="77777777" w:rsidR="00B93F12" w:rsidRDefault="00B93F12">
      <w:pPr>
        <w:spacing w:after="60"/>
        <w:ind w:hanging="480"/>
        <w:divId w:val="336543102"/>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42C0BAAE" w14:textId="77777777" w:rsidR="00B93F12" w:rsidRDefault="00B93F12">
      <w:pPr>
        <w:spacing w:after="60"/>
        <w:ind w:hanging="480"/>
        <w:divId w:val="336543102"/>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76C68A5C" w14:textId="77777777" w:rsidR="00B93F12" w:rsidRDefault="00B93F12">
      <w:pPr>
        <w:spacing w:after="60"/>
        <w:ind w:hanging="480"/>
        <w:divId w:val="336543102"/>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39B6F3DE" w14:textId="77777777" w:rsidR="00B93F12" w:rsidRDefault="00B93F12">
      <w:pPr>
        <w:spacing w:after="60"/>
        <w:ind w:hanging="480"/>
        <w:divId w:val="336543102"/>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3AB65CA6" w14:textId="77777777" w:rsidR="00B93F12" w:rsidRDefault="00B93F12">
      <w:pPr>
        <w:spacing w:after="60"/>
        <w:ind w:hanging="480"/>
        <w:divId w:val="336543102"/>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336543102"/>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336543102"/>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336543102"/>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336543102"/>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336543102"/>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336543102"/>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336543102"/>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336543102"/>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pPr>
        <w:spacing w:after="60"/>
        <w:ind w:hanging="480"/>
        <w:divId w:val="336543102"/>
        <w:rPr>
          <w:rFonts w:ascii="Arial" w:hAnsi="Arial" w:cs="Arial"/>
          <w:sz w:val="18"/>
          <w:szCs w:val="18"/>
        </w:rPr>
      </w:pPr>
      <w:r>
        <w:rPr>
          <w:rFonts w:ascii="Arial" w:hAnsi="Arial" w:cs="Arial"/>
          <w:sz w:val="18"/>
          <w:szCs w:val="18"/>
        </w:rPr>
        <w:t xml:space="preserve">[89] T. Kramer, M. Scherff, D. Mierwaldt, J. Hoffmann, C. Jooss, Role of oxygen vacancies for resistive switching in noble metal sandwiched Pr0.67Ca0.33MnO3-δ. Applied Physics Letters 110, 243502 (2017).</w:t>
      </w:r>
    </w:p>
    <w:p>
      <w:pPr>
        <w:spacing w:after="60"/>
        <w:ind w:hanging="480"/>
        <w:divId w:val="336543102"/>
        <w:rPr>
          <w:rFonts w:ascii="Arial" w:hAnsi="Arial" w:cs="Arial"/>
          <w:sz w:val="18"/>
          <w:szCs w:val="18"/>
        </w:rPr>
      </w:pPr>
      <w:r>
        <w:rPr>
          <w:rFonts w:ascii="Arial" w:hAnsi="Arial" w:cs="Arial"/>
          <w:sz w:val="18"/>
          <w:szCs w:val="18"/>
        </w:rPr>
        <w:t xml:space="preserve">[90] C. Acha, M. J. Rozenberg, Non-volatile resistive switching in the dielectric superconductor YBa2Cu3O7-δ. Journal of Physics: Condensed Matter 21, 045702 (2009).</w:t>
      </w:r>
    </w:p>
    <w:p w14:paraId="010D0D59" w14:textId="77777777" w:rsidR="00B93F12" w:rsidRDefault="00B93F12">
      <w:pPr>
        <w:pStyle w:val="Heading1"/>
        <w:pageBreakBefore/>
        <w:rPr>
          <w:rFonts w:ascii="Arial" w:eastAsia="Times New Roman" w:hAnsi="Arial" w:cs="Arial"/>
        </w:rPr>
      </w:pPr>
      <w:r>
        <w:rPr>
          <w:rFonts w:ascii="Arial" w:eastAsia="Times New Roman" w:hAnsi="Arial" w:cs="Arial"/>
        </w:rPr>
        <w:t>4  Requested Modules and Funds</w:t>
      </w:r>
    </w:p>
    <w:p w14:paraId="6CC5B5EB" w14:textId="77777777" w:rsidR="00B93F12" w:rsidRDefault="00B93F12">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77E0E71D" w14:textId="77777777" w:rsidR="00B93F12" w:rsidRDefault="00B93F12">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0163F194"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0F3AC0"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54D8AE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D78243"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8AD07D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1302E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8A91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376625"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56A02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4B40E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05A8F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3118A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6E4506A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5AA7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68A67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C6EEE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C825A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595CA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75592E9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1C27A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2A11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E418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55A75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01D51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5C18047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5D697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A4CC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419BB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FF02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119C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1AAAC8F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6F78F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120C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36C3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EACEC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0A56A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0ED8467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EB8697"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971BCE"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129C95"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0DC596"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61F3F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1A14C61C" w14:textId="77777777" w:rsidR="00B93F12" w:rsidRDefault="00B93F12">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2A00E974" w14:textId="77777777" w:rsidR="00B93F12" w:rsidRDefault="00B93F12">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471C38D9"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008D35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DA0A66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08B2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BDC15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ADE3C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7CCB3EB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B0A9C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6D1BA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E13CC7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3108C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29C914"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F4BEA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9901DF"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9AAD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3E6A35EB" w14:textId="77777777" w:rsidR="00B93F12" w:rsidRDefault="00B93F12">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3D54EE1"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BA358B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8E581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DDFE8B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3FEB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30C41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01C0D77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EFBB6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F6239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52DC5B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15AD4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A4F1C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EFAD2C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B2E388"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CFD3B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1773E88B" w14:textId="77777777" w:rsidR="00B93F12" w:rsidRDefault="00B93F12">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54ACD956" w14:textId="77777777" w:rsidR="00B93F12" w:rsidRDefault="00B93F12">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285FCCF"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61AA4F8"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73760B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B2C7AD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40711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4005D5"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7FC4708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72833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20DCD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1260F29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1ED2A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3124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2057BC9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46E80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3FA9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53B0017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9F1A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3C0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22357C9D" w14:textId="77777777" w:rsidR="00B93F12" w:rsidRDefault="00B93F12">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17391896"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8FA5DF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7F398C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1358E3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70E3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D4510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54245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9D22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4B12F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525306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E385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5484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345E3C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1C831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DD8C5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46F4DB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4C71DB"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B8A091"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22485CA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A319B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1EE51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4E85FA3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16773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7391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04DD5904" w14:textId="77777777" w:rsidR="00B93F12" w:rsidRDefault="00B93F12">
      <w:pPr>
        <w:pStyle w:val="Heading1"/>
        <w:pageBreakBefore/>
        <w:rPr>
          <w:rFonts w:ascii="Arial" w:eastAsia="Times New Roman" w:hAnsi="Arial" w:cs="Arial"/>
        </w:rPr>
      </w:pPr>
      <w:r>
        <w:rPr>
          <w:rFonts w:ascii="Arial" w:eastAsia="Times New Roman" w:hAnsi="Arial" w:cs="Arial"/>
        </w:rPr>
        <w:t>5  Prerequisites for Carrying Out the Project</w:t>
      </w:r>
    </w:p>
    <w:p w14:paraId="3AACAF0B" w14:textId="77777777" w:rsidR="00B93F12" w:rsidRDefault="00B93F12">
      <w:pPr>
        <w:pStyle w:val="Heading2"/>
        <w:rPr>
          <w:rFonts w:ascii="Arial" w:eastAsia="Times New Roman" w:hAnsi="Arial" w:cs="Arial"/>
        </w:rPr>
      </w:pPr>
      <w:r>
        <w:rPr>
          <w:rFonts w:ascii="Arial" w:eastAsia="Times New Roman" w:hAnsi="Arial" w:cs="Arial"/>
        </w:rPr>
        <w:t>5.1  Environment at the host institution</w:t>
      </w:r>
    </w:p>
    <w:p w14:paraId="0DC40281" w14:textId="77777777" w:rsidR="00B93F12" w:rsidRDefault="00B93F12">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33A0C99C" w14:textId="77777777" w:rsidR="00B93F12" w:rsidRDefault="00B93F12">
      <w:pPr>
        <w:pStyle w:val="Heading2"/>
        <w:rPr>
          <w:rFonts w:ascii="Arial" w:eastAsia="Times New Roman" w:hAnsi="Arial" w:cs="Arial"/>
        </w:rPr>
      </w:pPr>
      <w:r>
        <w:rPr>
          <w:rFonts w:ascii="Arial" w:eastAsia="Times New Roman" w:hAnsi="Arial" w:cs="Arial"/>
        </w:rPr>
        <w:t>5.2  Collaborations</w:t>
      </w:r>
    </w:p>
    <w:p w14:paraId="3A6328BC"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091E7D9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71C462F7"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1615938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54C91D79" w14:textId="77777777" w:rsidR="00B93F12" w:rsidRDefault="00B93F12">
      <w:pPr>
        <w:pStyle w:val="NormalWeb"/>
        <w:rPr>
          <w:rFonts w:ascii="Arial" w:hAnsi="Arial" w:cs="Arial"/>
          <w:sz w:val="21"/>
          <w:szCs w:val="21"/>
        </w:rPr>
      </w:pPr>
      <w:r>
        <w:rPr>
          <w:rFonts w:ascii="Arial" w:hAnsi="Arial" w:cs="Arial"/>
          <w:sz w:val="21"/>
          <w:szCs w:val="21"/>
        </w:rPr>
        <w:t>[Attach letters of commitment as appendices.]</w:t>
      </w:r>
    </w:p>
    <w:p w14:paraId="427C81B9" w14:textId="77777777" w:rsidR="00B93F12" w:rsidRDefault="00B93F12">
      <w:pPr>
        <w:pStyle w:val="Heading2"/>
        <w:rPr>
          <w:rFonts w:ascii="Arial" w:eastAsia="Times New Roman" w:hAnsi="Arial" w:cs="Arial"/>
        </w:rPr>
      </w:pPr>
      <w:r>
        <w:rPr>
          <w:rFonts w:ascii="Arial" w:eastAsia="Times New Roman" w:hAnsi="Arial" w:cs="Arial"/>
        </w:rPr>
        <w:t>5.3  Equal opportunities, early-career researchers</w:t>
      </w:r>
    </w:p>
    <w:p w14:paraId="3D897D16" w14:textId="77777777" w:rsidR="00B93F12" w:rsidRDefault="00B93F12">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5E907787" w14:textId="77777777" w:rsidR="00B93F12" w:rsidRDefault="00B93F12">
      <w:pPr>
        <w:pStyle w:val="Heading1"/>
        <w:rPr>
          <w:rFonts w:ascii="Arial" w:eastAsia="Times New Roman" w:hAnsi="Arial" w:cs="Arial"/>
        </w:rPr>
      </w:pPr>
      <w:r>
        <w:rPr>
          <w:rFonts w:ascii="Arial" w:eastAsia="Times New Roman" w:hAnsi="Arial" w:cs="Arial"/>
        </w:rPr>
        <w:t>6  Declarations</w:t>
      </w:r>
    </w:p>
    <w:p w14:paraId="67465B45"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proposal for funding of this project has been submitted to any other institution. In the event of parallel or later submission elsewhere, the DFG will be informed immediately.</w:t>
      </w:r>
    </w:p>
    <w:p w14:paraId="11284F1E"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526FFEB3"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2D8AF9D6"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B93F1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E55BAE"/>
    <w:multiLevelType w:val="multilevel"/>
    <w:tmpl w:val="F67A6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FC619BA"/>
    <w:multiLevelType w:val="multilevel"/>
    <w:tmpl w:val="54B89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E9477F"/>
    <w:multiLevelType w:val="multilevel"/>
    <w:tmpl w:val="4DE4A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CB06E0"/>
    <w:multiLevelType w:val="multilevel"/>
    <w:tmpl w:val="C64AA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747259">
    <w:abstractNumId w:val="2"/>
  </w:num>
  <w:num w:numId="2" w16cid:durableId="1156602734">
    <w:abstractNumId w:val="0"/>
  </w:num>
  <w:num w:numId="3" w16cid:durableId="493574606">
    <w:abstractNumId w:val="1"/>
  </w:num>
  <w:num w:numId="4" w16cid:durableId="18267789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F358F"/>
    <w:rsid w:val="009F358F"/>
    <w:rsid w:val="00B93F12"/>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AA2542"/>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543102">
      <w:marLeft w:val="0"/>
      <w:marRight w:val="0"/>
      <w:marTop w:val="0"/>
      <w:marBottom w:val="0"/>
      <w:divBdr>
        <w:top w:val="none" w:sz="0" w:space="0" w:color="auto"/>
        <w:left w:val="none" w:sz="0" w:space="0" w:color="auto"/>
        <w:bottom w:val="none" w:sz="0" w:space="0" w:color="auto"/>
        <w:right w:val="none" w:sz="0" w:space="0" w:color="auto"/>
      </w:divBdr>
    </w:div>
    <w:div w:id="2076389555">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7698</Words>
  <Characters>46651</Characters>
  <Application>Microsoft Office Word</Application>
  <DocSecurity>4</DocSecurity>
  <Lines>897</Lines>
  <Paragraphs>456</Paragraphs>
  <ScaleCrop>false</ScaleCrop>
  <Company/>
  <LinksUpToDate>false</LinksUpToDate>
  <CharactersWithSpaces>53893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