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switching between noble Au electrodes – the one oxide platform where noble-contact switching was already established and replicated – with a site-resolved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established the site-resolved O-K/Cu-L covalency scale at SSRL, and correlated it with switching in Au-contacted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beyond the perovskites: epitaxial </w:t>
            </w:r>
            <w:r>
              <w:rPr>
                <w:rFonts w:ascii="Arial" w:eastAsia="Times New Roman" w:hAnsi="Arial" w:cs="Arial"/>
                <w:sz w:val="19"/>
                <w:szCs w:val="19"/>
              </w:rPr>
              <w:t xml:space="preserve">YBa</w:t>
            </w:r>
            <w:r>
              <w:rPr>
                <w:rFonts w:ascii="Arial" w:eastAsia="Times New Roman" w:hAnsi="Arial" w:cs="Arial"/>
                <w:sz w:val="19"/>
                <w:szCs w:val="19"/>
                <w:vertAlign w:val="subscript"/>
              </w:rPr>
              <w:t xml:space="preserve">2</w:t>
            </w:r>
            <w:r>
              <w:rPr>
                <w:rFonts w:ascii="Arial" w:eastAsia="Times New Roman" w:hAnsi="Arial" w:cs="Arial"/>
                <w:sz w:val="19"/>
                <w:szCs w:val="19"/>
              </w:rPr>
              <w:t xml:space="preserve">Cu</w:t>
            </w:r>
            <w:r>
              <w:rPr>
                <w:rFonts w:ascii="Arial" w:eastAsia="Times New Roman" w:hAnsi="Arial" w:cs="Arial"/>
                <w:sz w:val="19"/>
                <w:szCs w:val="19"/>
                <w:vertAlign w:val="subscript"/>
              </w:rPr>
              <w:t xml:space="preserve">3</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7-δ</w:t>
            </w:r>
            <w:r>
              <w:rPr>
                <w:rFonts w:ascii="Arial" w:eastAsia="Times New Roman" w:hAnsi="Arial" w:cs="Arial"/>
                <w:sz w:val="19"/>
                <w:szCs w:val="19"/>
              </w:rPr>
              <w:t xml:space="preserve"> chain-oxygen series with Au-contact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