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on the published Pt/Pt crossbar platform – the fluorite generalisation test of the map – with an experimentally measured reducibility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reducibility scale) that I de-risked on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established the Ce-M4,5/O-K reducibility scale across it at SSRL, and correlated it with switching on the Pt/Pt crossbar platform</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reducibility descriptors in the fluorite class: epitaxial </w:t>
            </w:r>
            <w:r>
              <w:rPr>
                <w:rFonts w:ascii="Arial" w:eastAsia="Times New Roman" w:hAnsi="Arial" w:cs="Arial"/>
                <w:sz w:val="19"/>
                <w:szCs w:val="19"/>
              </w:rPr>
              <w:t xml:space="preserve">Ce</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Gd</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2-δ</w:t>
            </w:r>
            <w:r>
              <w:rPr>
                <w:rFonts w:ascii="Arial" w:eastAsia="Times New Roman" w:hAnsi="Arial" w:cs="Arial"/>
                <w:sz w:val="19"/>
                <w:szCs w:val="19"/>
              </w:rPr>
              <w:t xml:space="preserve"> series on the Pt/Pt crossbar platform,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