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[41] on a large-area PLD system of the type I have already used for wafer-scale memristive heterostructures [E3]; combinatorial hardware of this class covers substrates up to four inches [42], and epitaxial perovskite composition spreads are established [43]. Spatially resolved soft XAS turns such a wafer into a continuous covalency map – on-the-fly L-edge mapping of a combinatorial spread with a 0.5 mm beam has recently been demonstrated [44], and beamlines built for automated high-throughput NEXAFS exist for exactly this duty cycle [45] – while automated prober mapping of device arrays along the same gradient track yields the corresponding switching map [46].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[41], cation transfer is fluence- and pO2-sensitive and therefore calibrated per position [47],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[48], chemical expansion (high-temperature XRD) or a reference of known stoichiometry; optical absorption provides a second, fully imageable δ read-out [50]. Thin-film defect chemistry of exactly this type is established for ceria films [48] and for (La,Sr)FeO3-δ films [49],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[45].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the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STF series (months 1–8, Stanford)</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8): validated sample series with complete descriptor set. In parallel with the discrete samples, a gradient wafer of the same system is grown in continuous-compositional-spread mode [41, 42]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Intrinsic devices and switching characterisation (months 6–12, Stanford)</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12): switching figures of merit as a function of x, in both geometries,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including the reduction enthalpy per composition obtained from the gradient-wafer gas titration;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[33] J. Zaanen, G. A. Sawatzky, J. W. Allen, Band gaps and electronic structure of transition-metal compounds. Physical Review Letters 55, 418–421 (1985).</w:t>
      </w:r>
    </w:p>
    <w:p>
      <w:pPr>
        <w:spacing w:after="120"/>
      </w:pPr>
      <w:r>
        <w:rPr>
          <w:sz w:val="18"/>
          <w:szCs w:val="18"/>
        </w:rPr>
        <w:t xml:space="preserve">[34] A. Fujimori, F. Minami, Valence-band photoemission and optical absorption in nickel compounds. Physical Review B 30, 957–971 (1984).</w:t>
      </w:r>
    </w:p>
    <w:p>
      <w:pPr>
        <w:spacing w:after="120"/>
      </w:pPr>
      <w:r>
        <w:rPr>
          <w:sz w:val="18"/>
          <w:szCs w:val="18"/>
        </w:rPr>
        <w:t xml:space="preserve">[35]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[36] T. Saitoh, A. E. Bocquet, T. Mizokawa, A. Fujimori, Systematic variation of the electronic structure of 3d transition-metal compounds. Physical Review B 52, 7934–7938 (1995).</w:t>
      </w:r>
    </w:p>
    <w:p>
      <w:pPr>
        <w:spacing w:after="120"/>
      </w:pPr>
      <w:r>
        <w:rPr>
          <w:sz w:val="18"/>
          <w:szCs w:val="18"/>
        </w:rPr>
        <w:t xml:space="preserve">[37] S. Nimkar, D. D. Sarma, H. R. Krishnamurthy, S. Ramasesha, Mean-field results of the multiple-band extended Hubbard model for the square-planar CuO2 lattice. Physical Review B 48, 7355–7363 (1993).</w:t>
      </w:r>
    </w:p>
    <w:p>
      <w:pPr>
        <w:spacing w:after="120"/>
      </w:pPr>
      <w:r>
        <w:rPr>
          <w:sz w:val="18"/>
          <w:szCs w:val="18"/>
        </w:rPr>
        <w:t xml:space="preserve">[38] F. M. F. de Groot, X-ray absorption and dichroism of transition metals and their compounds. Journal of Electron Spectroscopy and Related Phenomena 67, 529–622 (1994).</w:t>
      </w:r>
    </w:p>
    <w:p>
      <w:pPr>
        <w:spacing w:after="120"/>
      </w:pPr>
      <w:r>
        <w:rPr>
          <w:sz w:val="18"/>
          <w:szCs w:val="18"/>
        </w:rPr>
        <w:t xml:space="preserve">[39] A. E. Bocquet, T. Mizokawa, K. Morikawa, A. Fujimori et al., Electronic structure of early 3d-transition-metal oxides by analysis of the 2p core-level photoemission spectra. Physical Review B 53, 1161–1170 (1996).</w:t>
      </w:r>
    </w:p>
    <w:p>
      <w:pPr>
        <w:spacing w:after="120"/>
      </w:pPr>
      <w:r>
        <w:rPr>
          <w:sz w:val="18"/>
          <w:szCs w:val="18"/>
        </w:rPr>
        <w:t xml:space="preserve">[40]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[41]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[42]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[43] A. Venimadhav, K. A. Yates, M. G. Blamire, Scanning Raman Spectroscopy for Characterizing Compositionally Spread Films. Journal of Combinatorial Chemistry 7, 85–89 (2005).</w:t>
      </w:r>
    </w:p>
    <w:p>
      <w:pPr>
        <w:spacing w:after="120"/>
      </w:pPr>
      <w:r>
        <w:rPr>
          <w:sz w:val="18"/>
          <w:szCs w:val="18"/>
        </w:rPr>
        <w:t xml:space="preserve">[44]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[45]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[50]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2026-08-10T22:40:37.015Z</dcterms:created>
  <dcterms:modified xsi:type="dcterms:W3CDTF">2026-08-10T22:40:37.016Z</dcterms:modified>
</cp:coreProperties>
</file>

<file path=docProps/custom.xml><?xml version="1.0" encoding="utf-8"?>
<Properties xmlns="http://schemas.openxmlformats.org/officeDocument/2006/custom-properties" xmlns:vt="http://schemas.openxmlformats.org/officeDocument/2006/docPropsVTypes"/>
</file>