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Marie Skłodowska-Curie Actions – Postdoctoral Fellowship (Global Fellowship)</w:t>
      </w:r>
    </w:p>
    <w:p>
      <w:pPr>
        <w:pStyle w:val="Title"/>
      </w:pPr>
      <w:r>
        <w:t xml:space="preserve">Covalency as an Experimental Descriptor of Memristive Switching: the Pr1-xCaxMnO3 Series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shd w:fill="EEF1F5" w:val="clear"/>
            <w:tcMar>
              <w:top w:type="dxa" w:w="50"/>
              <w:left w:type="dxa" w:w="90"/>
              <w:bottom w:type="dxa" w:w="50"/>
              <w:right w:type="dxa" w:w="90"/>
            </w:tcMar>
          </w:tcPr>
          <w:p>
            <w:r>
              <w:rPr>
                <w:b/>
                <w:bCs/>
                <w:sz w:val="19"/>
                <w:szCs w:val="19"/>
              </w:rPr>
              <w:t xml:space="preserve">Applicant</w:t>
            </w:r>
          </w:p>
        </w:tc>
        <w:tc>
          <w:tcPr>
            <w:tcW w:type="dxa" w:w="6672"/>
            <w:tcMar>
              <w:top w:type="dxa" w:w="50"/>
              <w:left w:type="dxa" w:w="90"/>
              <w:bottom w:type="dxa" w:w="50"/>
              <w:right w:type="dxa" w:w="90"/>
            </w:tcMar>
          </w:tcPr>
          <w:p>
            <w:r>
              <w:rPr>
                <w:b w:val="false"/>
                <w:bCs w:val="false"/>
                <w:sz w:val="19"/>
                <w:szCs w:val="19"/>
              </w:rPr>
              <w:t xml:space="preserve">Dr. Max Buczek, Postdoctoral Researcher, Peter Grünberg Institute (PGI-7), Forschungszentrum Jülich, Germany</w:t>
            </w:r>
          </w:p>
        </w:tc>
      </w:tr>
      <w:tr>
        <w:tc>
          <w:tcPr>
            <w:tcW w:type="dxa" w:w="2400"/>
            <w:shd w:fill="EEF1F5" w:val="clear"/>
            <w:tcMar>
              <w:top w:type="dxa" w:w="50"/>
              <w:left w:type="dxa" w:w="90"/>
              <w:bottom w:type="dxa" w:w="50"/>
              <w:right w:type="dxa" w:w="90"/>
            </w:tcMar>
          </w:tcPr>
          <w:p>
            <w:r>
              <w:rPr>
                <w:b/>
                <w:bCs/>
                <w:sz w:val="19"/>
                <w:szCs w:val="19"/>
              </w:rPr>
              <w:t xml:space="preserve">Host abroad</w:t>
            </w:r>
          </w:p>
        </w:tc>
        <w:tc>
          <w:tcPr>
            <w:tcW w:type="dxa" w:w="6672"/>
            <w:tcMar>
              <w:top w:type="dxa" w:w="50"/>
              <w:left w:type="dxa" w:w="90"/>
              <w:bottom w:type="dxa" w:w="50"/>
              <w:right w:type="dxa" w:w="90"/>
            </w:tcMar>
          </w:tcPr>
          <w:p>
            <w:r>
              <w:rPr>
                <w:b w:val="false"/>
                <w:bCs w:val="false"/>
                <w:sz w:val="19"/>
                <w:szCs w:val="19"/>
              </w:rPr>
              <w:t xml:space="preserve">Prof. Dr. William C. Chueh, Department of Materials Science and Engineering, Stanford University, USA (Stanford Synchrotron Radiation Lightsource, SSRL)</w:t>
            </w:r>
          </w:p>
        </w:tc>
      </w:tr>
      <w:tr>
        <w:tc>
          <w:tcPr>
            <w:tcW w:type="dxa" w:w="2400"/>
            <w:shd w:fill="EEF1F5" w:val="clear"/>
            <w:tcMar>
              <w:top w:type="dxa" w:w="50"/>
              <w:left w:type="dxa" w:w="90"/>
              <w:bottom w:type="dxa" w:w="50"/>
              <w:right w:type="dxa" w:w="90"/>
            </w:tcMar>
          </w:tcPr>
          <w:p>
            <w:r>
              <w:rPr>
                <w:b/>
                <w:bCs/>
                <w:sz w:val="19"/>
                <w:szCs w:val="19"/>
              </w:rPr>
              <w:t xml:space="preserve">German / European host</w:t>
            </w:r>
          </w:p>
        </w:tc>
        <w:tc>
          <w:tcPr>
            <w:tcW w:type="dxa" w:w="6672"/>
            <w:tcMar>
              <w:top w:type="dxa" w:w="50"/>
              <w:left w:type="dxa" w:w="90"/>
              <w:bottom w:type="dxa" w:w="50"/>
              <w:right w:type="dxa" w:w="90"/>
            </w:tcMar>
          </w:tcPr>
          <w:p>
            <w:r>
              <w:rPr>
                <w:b w:val="false"/>
                <w:bCs w:val="false"/>
                <w:sz w:val="19"/>
                <w:szCs w:val="19"/>
              </w:rPr>
              <w:t xml:space="preserve">[RWTH Aachen University or Forschungszentrum Jülich – to be fixed; hosts the return/reintegration phase where applicable]</w:t>
            </w:r>
          </w:p>
        </w:tc>
      </w:tr>
      <w:tr>
        <w:tc>
          <w:tcPr>
            <w:tcW w:type="dxa" w:w="2400"/>
            <w:shd w:fill="EEF1F5" w:val="clear"/>
            <w:tcMar>
              <w:top w:type="dxa" w:w="50"/>
              <w:left w:type="dxa" w:w="90"/>
              <w:bottom w:type="dxa" w:w="50"/>
              <w:right w:type="dxa" w:w="90"/>
            </w:tcMar>
          </w:tcPr>
          <w:p>
            <w:r>
              <w:rPr>
                <w:b/>
                <w:bCs/>
                <w:sz w:val="19"/>
                <w:szCs w:val="19"/>
              </w:rPr>
              <w:t xml:space="preserve">Duration</w:t>
            </w:r>
          </w:p>
        </w:tc>
        <w:tc>
          <w:tcPr>
            <w:tcW w:type="dxa" w:w="6672"/>
            <w:tcMar>
              <w:top w:type="dxa" w:w="50"/>
              <w:left w:type="dxa" w:w="90"/>
              <w:bottom w:type="dxa" w:w="50"/>
              <w:right w:type="dxa" w:w="90"/>
            </w:tcMar>
          </w:tcPr>
          <w:p>
            <w:r>
              <w:rPr>
                <w:b w:val="false"/>
                <w:bCs w:val="false"/>
                <w:sz w:val="19"/>
                <w:szCs w:val="19"/>
              </w:rPr>
              <w:t xml:space="preserve">36 months (24 outgoing + 12 return)</w:t>
            </w:r>
          </w:p>
        </w:tc>
      </w:tr>
      <w:tr>
        <w:tc>
          <w:tcPr>
            <w:tcW w:type="dxa" w:w="2400"/>
            <w:shd w:fill="EEF1F5" w:val="clear"/>
            <w:tcMar>
              <w:top w:type="dxa" w:w="50"/>
              <w:left w:type="dxa" w:w="90"/>
              <w:bottom w:type="dxa" w:w="50"/>
              <w:right w:type="dxa" w:w="90"/>
            </w:tcMar>
          </w:tcPr>
          <w:p>
            <w:r>
              <w:rPr>
                <w:b/>
                <w:bCs/>
                <w:sz w:val="19"/>
                <w:szCs w:val="19"/>
              </w:rPr>
              <w:t xml:space="preserve">Format</w:t>
            </w:r>
          </w:p>
        </w:tc>
        <w:tc>
          <w:tcPr>
            <w:tcW w:type="dxa" w:w="6672"/>
            <w:tcMar>
              <w:top w:type="dxa" w:w="50"/>
              <w:left w:type="dxa" w:w="90"/>
              <w:bottom w:type="dxa" w:w="50"/>
              <w:right w:type="dxa" w:w="90"/>
            </w:tcMar>
          </w:tcPr>
          <w:p>
            <w:r>
              <w:rPr>
                <w:b w:val="false"/>
                <w:bCs w:val="false"/>
                <w:sz w:val="19"/>
                <w:szCs w:val="19"/>
              </w:rPr>
              <w:t xml:space="preserve">Global Postdoctoral Fellowship: 24-month outgoing phase at Stanford University / SLAC (third country) + mandatory 12-month return phase at the European host [FZ Jülich or RWTH Aachen as applicant/beneficiary organisation]</w:t>
            </w:r>
          </w:p>
        </w:tc>
      </w:tr>
      <w:tr>
        <w:tc>
          <w:tcPr>
            <w:tcW w:type="dxa" w:w="2400"/>
            <w:shd w:fill="EEF1F5" w:val="clear"/>
            <w:tcMar>
              <w:top w:type="dxa" w:w="50"/>
              <w:left w:type="dxa" w:w="90"/>
              <w:bottom w:type="dxa" w:w="50"/>
              <w:right w:type="dxa" w:w="90"/>
            </w:tcMar>
          </w:tcPr>
          <w:p>
            <w:r>
              <w:rPr>
                <w:b/>
                <w:bCs/>
                <w:sz w:val="19"/>
                <w:szCs w:val="19"/>
              </w:rPr>
              <w:t xml:space="preserve">Funding</w:t>
            </w:r>
          </w:p>
        </w:tc>
        <w:tc>
          <w:tcPr>
            <w:tcW w:type="dxa" w:w="6672"/>
            <w:tcMar>
              <w:top w:type="dxa" w:w="50"/>
              <w:left w:type="dxa" w:w="90"/>
              <w:bottom w:type="dxa" w:w="50"/>
              <w:right w:type="dxa" w:w="90"/>
            </w:tcMar>
          </w:tcPr>
          <w:p>
            <w:r>
              <w:rPr>
                <w:b w:val="false"/>
                <w:bCs w:val="false"/>
                <w:sz w:val="19"/>
                <w:szCs w:val="19"/>
              </w:rPr>
              <w:t xml:space="preserve">Horizon Europe unit costs: living, mobility and (if applicable) family allowances, country-corrected [insert current rates]</w:t>
            </w:r>
          </w:p>
        </w:tc>
      </w:tr>
      <w:tr>
        <w:tc>
          <w:tcPr>
            <w:tcW w:type="dxa" w:w="2400"/>
            <w:shd w:fill="EEF1F5" w:val="clear"/>
            <w:tcMar>
              <w:top w:type="dxa" w:w="50"/>
              <w:left w:type="dxa" w:w="90"/>
              <w:bottom w:type="dxa" w:w="50"/>
              <w:right w:type="dxa" w:w="90"/>
            </w:tcMar>
          </w:tcPr>
          <w:p>
            <w:r>
              <w:rPr>
                <w:b/>
                <w:bCs/>
                <w:sz w:val="19"/>
                <w:szCs w:val="19"/>
              </w:rPr>
              <w:t xml:space="preserve">Eligibility</w:t>
            </w:r>
          </w:p>
        </w:tc>
        <w:tc>
          <w:tcPr>
            <w:tcW w:type="dxa" w:w="6672"/>
            <w:tcMar>
              <w:top w:type="dxa" w:w="50"/>
              <w:left w:type="dxa" w:w="90"/>
              <w:bottom w:type="dxa" w:w="50"/>
              <w:right w:type="dxa" w:w="90"/>
            </w:tcMar>
          </w:tcPr>
          <w:p>
            <w:r>
              <w:rPr>
                <w:b w:val="false"/>
                <w:bCs w:val="false"/>
                <w:sz w:val="19"/>
                <w:szCs w:val="19"/>
              </w:rPr>
              <w:t xml:space="preserve">PhD ≤ 8 years at call deadline; MSCA mobility rule for the outgoing host country (max. 12 months in the USA within the 36 months before the deadline) [verify against personal record]</w:t>
            </w:r>
          </w:p>
        </w:tc>
      </w:tr>
      <w:tr>
        <w:tc>
          <w:tcPr>
            <w:tcW w:type="dxa" w:w="2400"/>
            <w:shd w:fill="EEF1F5" w:val="clear"/>
            <w:tcMar>
              <w:top w:type="dxa" w:w="50"/>
              <w:left w:type="dxa" w:w="90"/>
              <w:bottom w:type="dxa" w:w="50"/>
              <w:right w:type="dxa" w:w="90"/>
            </w:tcMar>
          </w:tcPr>
          <w:p>
            <w:r>
              <w:rPr>
                <w:b/>
                <w:bCs/>
                <w:sz w:val="19"/>
                <w:szCs w:val="19"/>
              </w:rPr>
              <w:t xml:space="preserve">Application</w:t>
            </w:r>
          </w:p>
        </w:tc>
        <w:tc>
          <w:tcPr>
            <w:tcW w:type="dxa" w:w="6672"/>
            <w:tcMar>
              <w:top w:type="dxa" w:w="50"/>
              <w:left w:type="dxa" w:w="90"/>
              <w:bottom w:type="dxa" w:w="50"/>
              <w:right w:type="dxa" w:w="90"/>
            </w:tcMar>
          </w:tcPr>
          <w:p>
            <w:r>
              <w:rPr>
                <w:b w:val="false"/>
                <w:bCs w:val="false"/>
                <w:sz w:val="19"/>
                <w:szCs w:val="19"/>
              </w:rPr>
              <w:t xml:space="preserve">Annual single-stage call [insert current deadline, typically September], submitted by the European host institution</w:t>
            </w:r>
          </w:p>
        </w:tc>
      </w:tr>
      <w:tr>
        <w:tc>
          <w:tcPr>
            <w:tcW w:type="dxa" w:w="2400"/>
            <w:shd w:fill="EEF1F5" w:val="clear"/>
            <w:tcMar>
              <w:top w:type="dxa" w:w="50"/>
              <w:left w:type="dxa" w:w="90"/>
              <w:bottom w:type="dxa" w:w="50"/>
              <w:right w:type="dxa" w:w="90"/>
            </w:tcMar>
          </w:tcPr>
          <w:p>
            <w:r>
              <w:rPr>
                <w:b/>
                <w:bCs/>
                <w:sz w:val="19"/>
                <w:szCs w:val="19"/>
              </w:rPr>
              <w:t xml:space="preserve">Special feature</w:t>
            </w:r>
          </w:p>
        </w:tc>
        <w:tc>
          <w:tcPr>
            <w:tcW w:type="dxa" w:w="6672"/>
            <w:tcMar>
              <w:top w:type="dxa" w:w="50"/>
              <w:left w:type="dxa" w:w="90"/>
              <w:bottom w:type="dxa" w:w="50"/>
              <w:right w:type="dxa" w:w="90"/>
            </w:tcMar>
          </w:tcPr>
          <w:p>
            <w:r>
              <w:rPr>
                <w:b w:val="false"/>
                <w:bCs w:val="false"/>
                <w:sz w:val="19"/>
                <w:szCs w:val="19"/>
              </w:rPr>
              <w:t xml:space="preserve">Explicit training, supervision and two-way knowledge-transfer requirements; funded 12-month return phase</w:t>
            </w:r>
          </w:p>
        </w:tc>
      </w:tr>
    </w:tbl>
    <w:p>
      <w:pPr>
        <w:spacing w:after="120"/>
      </w:pPr>
      <w:r>
        <w:rPr>
          <w:i/>
          <w:iCs/>
          <w:sz w:val="18"/>
          <w:szCs w:val="18"/>
        </w:rPr>
        <w:t xml:space="preserve">Standalone draft proposal for this funding line (status 09.08.2026). Only one of the parallel programme drafts of this folder will be pursued for the research stay – check each funder’s double-funding rules before submission. Materials selection follows the portfolio’s three-criterion evidence logic; all cited references are individually verified against publisher records (see Literaturpruefung_2026-08-09 and Materialscreening_2026-08-09).</w:t>
      </w:r>
    </w:p>
    <w:p>
      <w:pPr>
        <w:pStyle w:val="Heading1"/>
        <w:spacing w:after="120" w:before="240"/>
      </w:pPr>
      <w:r>
        <w:t xml:space="preserve">1  Research question and scientific significance</w:t>
      </w:r>
    </w:p>
    <w:p>
      <w:pPr>
        <w:spacing w:after="120"/>
      </w:pPr>
      <w:r>
        <w:t xml:space="preserve">Memristive devices based on the valence change mechanism (VCM) switch their resistance through field-driven creation and migration of oxygen vacancies (VO) [1–3]. The oxygen-vacancy formation energy (EV) enters all quantitative switching models exponentially [3, 4] – and yet it has never been measured systematically how EV determines the central figures of merit (ON/OFF ratio, forming voltage, retention). Energy research, by contrast, has quantitatively established that EV in perovskites is controlled by the metal–oxygen covalency: the O-2p band centre scales linearly with EV and serves as a descriptor for catalysis and oxygen transport [5–8]. My project connects these two worlds experimentally for the first time – using the model series Pr1-xCaxMnO3 (PCMO), the best-documented perovskite memristor family.</w:t>
      </w:r>
    </w:p>
    <w:p>
      <w:pPr>
        <w:spacing w:after="120"/>
      </w:pPr>
      <w:r>
        <w:t xml:space="preserve">PCMO is the ideal test system for a clean covalency study, for three reasons. (i) The covalency axis is established: Ca2+ substitution dopes holes with substantial O-2p character into the mixed-valent Mn3+/Mn4+ system; the resulting increase of Mn3d–O2p hybridisation with x is measurable at the O-K edge as a relative, series-internal quantity and has recently been quantified for two compositions (x = 0.1/0.33) in the electrocatalysis context [9] – precisely the descriptor knowledge this project transfers to memristive switching, with the classic manganite X-ray absorption literature as calibration base [10, 11]. (ii) The switching axis is established: PCMO delivered the first perovskite ReRAM demonstrations [12, 13], its interface redox mechanism is spectroscopically proven [14], and the field is comprehensively mapped in my first-author Chemical Reviews article [E2] and the recent manganite device review [22]. Crucially, the only complete composition-resolved switching study in the entire perovskite ReRAM literature exists for PCMO: Asanuma et al. measured Ti/Pr1-xCaxMnO3 junctions across the full Ca range and found a pronounced maximum of the switching ratio at x ≈ 0.4, with switching disappearing for x &gt; 0.8 [16] – a striking result that has remained without a materials-descriptor explanation for over fifteen years – indeed, no quantitative EV(x) or EV–covalency relation has been published for PCMO at all. (iii) The mechanism is stable across the series: PCMO remains a perovskite and stays insulating over the entire doping range (narrow bandwidth) – no topotactic brownmillerite transition and no metal–insulator transition interferes, in deliberate contrast to the ferrite and cobaltite families, where the switching mechanism itself changes with doping. Covalency thus remains the truly isolated variable. My central hypothesis: the Asanuma optimum is the covalency optimum (“Goldilocks zone”) – and its position can be predicted from an experimentally measured XAS covalency descriptor. Beyond the correlation, the same series delivers the first stoichiometry optimisation of PCMO switching at a noble-metal interface – on a basis that is already demonstrated for a single composition [24]. This project adds the missing descriptor axis to the established switching axis; related composition series [15, 17, 23] serve as consistency checks.</w:t>
      </w:r>
    </w:p>
    <w:p>
      <w:pPr>
        <w:spacing w:after="120"/>
      </w:pPr>
      <w:r>
        <w:t xml:space="preserve">Conceptual footing (sharpened after expert feedback, 08/2026): throughout this project, “covalency” is used in the quantitative sense of the charge-transfer/cluster-model framework – charge-transfer energy Δ, on-site Coulomb energy U and transfer integrals, in the Zaanen–Sawatzky–Allen classification [26] and as extracted compound by compound by the configuration-interaction analyses of Fujimori, Bocquet, Saitoh, Sarma and co-workers [27–30]. O-K pre-edge intensities serve as a relative, series-internal hybridisation measure only; their limits as an absolute covalency scale (core-hole effects, ligand-hole distribution, band effects) are treated explicitly [31], and the conflation of hybridisation with covalency that is common in the catalysis-descriptor literature is deliberately avoided – the descriptor scale of this project is calibrated against cluster-model analysis, not against pre-edge intensity alone. System-specific parameter status (re-screening, 09.08.2026): quantitative CI anchors exist for the La-based manganite end members [32], but no Δ/U/(pdσ) set has been published for Pr1-xCaxMnO3 at any composition – the closest existing series spectroscopy [33] stops short of a cluster fit; establishing the PCMO parameter set is an explicit deliverable of this project.</w:t>
      </w:r>
    </w:p>
    <w:p>
      <w:pPr>
        <w:spacing w:after="120"/>
      </w:pPr>
      <w:r>
        <w:t xml:space="preserve">Methodological platform (added 08/2026) – one wafer, one map: beyond discrete samples, the composition series is realised as a single wafer carrying a continuous lateral cation-stoichiometry gradient, grown in continuous-compositional-spread mode [34] on a large-area PLD system of the type I have already used for wafer-scale memristive heterostructures [E3]; combinatorial hardware of this class covers substrates up to four inches [35], and epitaxial perovskite composition spreads are established [36]. Spatially resolved soft XAS turns such a wafer into a continuous covalency map – on-the-fly L-edge mapping of a combinatorial spread with a 0.5 mm beam has recently been demonstrated [37], and beamlines built for automated high-throughput NEXAFS exist for exactly this duty cycle [38] – while automated prober mapping of device arrays along the same gradient track yields the corresponding switching map [39]. With a 0.2–0.5 mm beam footprint on a 50 mm gradient, one wafer carries 100–250 independent composition points; the limiting quantity is the composition calibration map (XRF/WDS), not the beam. The known pitfalls are addressed by design: slit-synchronised scanning decouples composition from thickness [34], cation transfer is fluence- and pO2-sensitive and therefore calibrated per position [40], and structural quality across the wafer is mapped rather than assumed.</w:t>
      </w:r>
    </w:p>
    <w:p>
      <w:pPr>
        <w:spacing w:after="120"/>
      </w:pPr>
      <w:r>
        <w:t xml:space="preserve">The same wafer turns the weakest link of the descriptor chain into a measurement. Equilibrated at a defined oxygen partial pressure and temperature, every position adopts its own non-stoichiometry δ; mapping the transition-metal valence in the same XAS scan yields δ(x; pO2, T), and repeating this across oxidising and reducing conditions gives the reduction enthalpy ΔHred(x) – an experimentally determined vacancy-formation energy measured on the same spots, the same sample and the same growth run as the covalency descriptor. To be precise about what spectroscopy delivers: XAS gives valence, not an absolute oxygen content, so the map is calibrated against anchor points from chemical capacitance [41], chemical expansion (high-temperature XRD) or a reference of known stoichiometry; optical absorption provides a second, fully imageable δ read-out [43]. Thin-film defect chemistry of exactly this type is established for ceria films [41] and for (La,Sr)FeO3-δ films [42], and the composition-dependent reduction enthalpy of the SrTi1-xFexO3-δ solid solution is the natural validation target: if the gradient wafer reproduces that published curve, the method is proven, and only then does the co-located descriptor measurement carry weight. The covalency→EV link, which for most systems currently rests on calculation rather than experiment, thereby becomes a directly measured correlation whose predictive quality can be quantified per composition instead of asserted.</w:t>
      </w:r>
    </w:p>
    <w:p>
      <w:pPr>
        <w:spacing w:after="120"/>
      </w:pPr>
      <w:r>
        <w:t xml:space="preserve">Three constraints are taken seriously from the outset. (i) Detection under gas: total-electron yield collapses above a few mbar; Auger yield through a differentially pumped analyser carries to roughly 25 mbar and windowed fluorescence yield to ambient pressure, the latter at the price of self-absorption corrections at the transition-metal L edges. Ambient-pressure NEXAFS endstations built for this envelope exist and are combined with high-throughput operation [38]. (ii) Surface versus bulk: electron and Auger yield probe only the outer nanometres, precisely where enrichment and reconstruction may occur under high temperature and oxygen pressure, so bulk-sensitive fluorescence yield is recorded alongside and film thicknesses kept small. (iii) Radiation dose: soft-X-ray photoreduction of Ce, Mn, Fe and Co drives the valence in the same direction as the gas-induced reduction under study, so dose series, defocused fast scans and fresh-spot rastering are part of the protocol rather than an afterthought. Where electrochemical δ control is required, it needs an ion-conducting substrate stack and is therefore a deliberate choice for dedicated calibration wafers, not the default of the epitaxial gradient series. An ex-situ equilibrate-quench-measure route remains available as a fallback where δ is frozen in, which is defensible for titanates and manganites and marginal for cobaltites, ceria and YBCO.</w:t>
      </w:r>
    </w:p>
    <w:p>
      <w:pPr>
        <w:pStyle w:val="Heading1"/>
        <w:spacing w:after="120" w:before="240"/>
      </w:pPr>
      <w:r>
        <w:t xml:space="preserve">2  Programme fit and strategy</w:t>
      </w:r>
    </w:p>
    <w:p>
      <w:pPr>
        <w:spacing w:after="120"/>
      </w:pPr>
      <w:r>
        <w:t xml:space="preserve">The MSCA Global Fellowship funds the project as a 24-month outgoing phase at Stanford plus a mandatory, funded 12-month return phase at the European host. The return phase institutionalises exactly what the planned group programme needs: transfer of the SSRL-proven XAS protocols to European beamlines, integration of the descriptor dataset into the map, and preparation of the ERC/Emmy Noether bid. MSCA-specific proposal sections (training objectives, supervision arrangement between Prof. Chueh and the German host, dissemination and exploitation plan, two-way transfer of knowledge) must be completed per the current template.</w:t>
      </w:r>
    </w:p>
    <w:p>
      <w:pPr>
        <w:pStyle w:val="Heading1"/>
        <w:spacing w:after="120" w:before="240"/>
      </w:pPr>
      <w:r>
        <w:t xml:space="preserve">3  Why the Chueh group at Stanford is the ideal place</w:t>
      </w:r>
    </w:p>
    <w:p>
      <w:pPr>
        <w:spacing w:after="120"/>
      </w:pPr>
      <w:r>
        <w:t xml:space="preserve">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perovskite thin films [18–20]. The group’s seminal work on the redox activity of oxygen anions in oxygen-deficient perovskites [19] is a direct methodological blueprint for my project; the Nature Materials study on atomically defined LaNiO3 surfaces [20] – with Christoph Baeumer from the Jülich school as first author – furthermore demonstrates that the group routinely masters epitaxial perovskite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 acquired on PCMO itself, the very material of this proposal [E1–E3]. This is the strongest possible de-risking for a 24-month project: growth windows, device processing and measurement protocols for PCMO are my established expertise, so the fellowship time is spent on the genuinely new element – the spectroscopic descriptor axis. The constellation is thus a genuine two-way transfer of knowledge. For complementary epitaxial growth questions, the environment of the Stanford Institute for Materials and Energy Sciences (SIMES) at SLAC is available. [Host choice under review after first-hand feedback (08/2026): the Chueh group’s own perovskite/oxide-redox activities have largely moved on; the relevant lines are continued in alumni groups – C. Baeumer (University of Twente), Q. Lu (Westlake University), J. T. Mefford, D. Chen. If XAS quantification is the methodological core, a host with direct synchrotron access (e.g. PSI/SLS, MAX IV, Diamond, or a beamline-affiliated group) is a serious alternative. Re-validate and, if necessary, rewrite this section before submission.]</w:t>
      </w:r>
    </w:p>
    <w:p>
      <w:pPr>
        <w:pStyle w:val="Heading1"/>
        <w:spacing w:after="120" w:before="240"/>
      </w:pPr>
      <w:r>
        <w:t xml:space="preserve">4  Work programme</w:t>
      </w:r>
    </w:p>
    <w:p>
      <w:pPr>
        <w:spacing w:after="120"/>
      </w:pPr>
      <w:r>
        <w:rPr>
          <w:b/>
          <w:bCs/>
        </w:rPr>
        <w:t xml:space="preserve">WP1 – Synthesis and descriptor measurement of the PCMO series (months 1–10, Stanford)</w:t>
      </w:r>
    </w:p>
    <w:p>
      <w:pPr>
        <w:spacing w:after="120"/>
      </w:pPr>
      <w:r>
        <w:t xml:space="preserve">PLD growth of epitaxial Pr1-xCaxMnO3 films (x = 0.1; 0.2; 0.3; 0.4; 0.5; 0.65; 0.8 – dense sampling around the reported switching optimum at x ≈ 0.4 and up to the x &gt; 0.8 regime where switching reportedly vanishes [16]) on Nb:SrTiO3 substrates in the Stanford/SLAC thin-film laboratories, building directly on my PCMO growth expertise [E1–E3]; structural validation (XRD, AFM); cation and oxygen stoichiometry (XPS, RBS where required). In parallel, first XAS campaign at SSRL: O-K pre-edge quantification following the procedure of Suntivich et al. [11], benchmarked against the published PCMO covalence analysis [9], and Mn-L2,3 valence analysis for every composition → experimental covalency scale of the series. Milestone M1 (month 10): validated sample series with complete descriptor set. In parallel with the discrete samples, a gradient wafer of the same system is grown in continuous-compositional-spread mode [34, 35] and calibrated position by position (XRF/WDS composition map, XRR thickness, XRD structural quality); the discrete series remains the backbone of the analysis, the gradient wafer is the throughput accelerator and the carrier of the defect-chemical titration in WP3.</w:t>
      </w:r>
    </w:p>
    <w:p>
      <w:pPr>
        <w:spacing w:after="120"/>
      </w:pPr>
      <w:r>
        <w:rPr>
          <w:b/>
          <w:bCs/>
        </w:rPr>
        <w:t xml:space="preserve">WP2 – Devices and switching characterisation (months 8–18, Stanford)</w:t>
      </w:r>
    </w:p>
    <w:p>
      <w:pPr>
        <w:spacing w:after="120"/>
      </w:pPr>
      <w:r>
        <w:t xml:space="preserve">Two device flavours per composition, processed photolithographically with ≥ 30 nominally identical cells each: (i) a benchmark geometry with reactive Ti top electrodes reproducing the Asanuma configuration [16] for direct quantitative comparability with the published switching-vs-x dataset, and (ii) a clean geometry with inert Pt top electrodes on Nb:SrTiO3, isolating the covalency effect from reactive-electrode interface chemistry [14]. This geometry is viable: PCMO switching between two noble Pt contacts – with oxygen-stoichiometry-dependent behaviour and spectroscopic proof of internal oxygen migration – has been demonstrated [24], whereas permeable Au-contacted devices show no hysteresis [25], defining both the opportunity and the statistical care required. Quasistatic and pulsed switching characterisation following the statistics protocol established in my doctorate (ON/OFF at defined read-out voltage, forming requirement, switching kinetics, temperature-accelerated retention, endurance). Milestone M2 (month 18): switching figures of merit as a function of x, in both geometries, with robust statistics.</w:t>
      </w:r>
    </w:p>
    <w:p>
      <w:pPr>
        <w:spacing w:after="120"/>
      </w:pPr>
      <w:r>
        <w:rPr>
          <w:b/>
          <w:bCs/>
        </w:rPr>
        <w:t xml:space="preserve">WP3 – Correlation, operando validation and publication (months 16–24, Stanford)</w:t>
      </w:r>
    </w:p>
    <w:p>
      <w:pPr>
        <w:spacing w:after="120"/>
      </w:pPr>
      <w:r>
        <w:t xml:space="preserve">Correlation analysis covalency (XAS) ↔ EV (literature descriptor models [5–8]) ↔ switching metrics; test of the central hypothesis that the covalency descriptor predicts the position of the Asanuma optimum. Second SSRL campaign: XAS on switched cells (ex-situ before/after switching, operando if successful) to verify that the composition-dependent differences indeed rest on different VO dynamics. Publication of the first covalency-resolved memristor study of a perovskite series; dataset released following FAIR principles. Milestone M3 (month 24): submitted publication(s), public dataset. On the gradient wafer, the defect-chemical gas titration introduced in Section 1 is carried out: δ(x; pO2, T) from oxidising and reducing equilibria yields ΔHred(x) and thus a covalency↔EV correlation measured spot-by-spot against the descriptor on one and the same sample [38], with equilibrium and radiation-dose controls preceding any descriptor claim.</w:t>
      </w:r>
    </w:p>
    <w:p>
      <w:pPr>
        <w:spacing w:after="120"/>
      </w:pPr>
      <w:r>
        <w:rPr>
          <w:b/>
          <w:bCs/>
        </w:rPr>
        <w:t xml:space="preserve">WP4 – Return phase: European transfer and map integration (months 25–36, [RWTH Aachen / FZ Jülich])</w:t>
      </w:r>
    </w:p>
    <w:p>
      <w:pPr>
        <w:spacing w:after="120"/>
      </w:pPr>
      <w:r>
        <w:t xml:space="preserve">European beamline campaigns (BESSY II/PETRA III) transferring the SSRL-proven XAS protocols; cross-class integration of the descriptor dataset into the map; publication of the extended dataset; preparation and submission of the junior-group proposal (Emmy Noether/ERC); supervision and training plan per MSCA rules spanning both phases. Milestone M4 (month 36): map integration complete, group proposal submitted.</w:t>
      </w:r>
    </w:p>
    <w:p>
      <w:pPr>
        <w:pStyle w:val="Heading1"/>
        <w:spacing w:after="120" w:before="240"/>
      </w:pPr>
      <w:r>
        <w:t xml:space="preserve">5  Timeline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12"/>
        <w:gridCol w:w="555"/>
        <w:gridCol w:w="555"/>
        <w:gridCol w:w="555"/>
        <w:gridCol w:w="555"/>
        <w:gridCol w:w="555"/>
        <w:gridCol w:w="555"/>
        <w:gridCol w:w="555"/>
        <w:gridCol w:w="555"/>
        <w:gridCol w:w="555"/>
        <w:gridCol w:w="555"/>
        <w:gridCol w:w="555"/>
        <w:gridCol w:w="555"/>
      </w:tblGrid>
      <w:tr>
        <w:tc>
          <w:tcPr>
            <w:tcW w:type="dxa" w:w="2412"/>
            <w:shd w:fill="EEF1F5" w:val="clear"/>
            <w:tcMar>
              <w:top w:type="dxa" w:w="50"/>
              <w:left w:type="dxa" w:w="90"/>
              <w:bottom w:type="dxa" w:w="50"/>
              <w:right w:type="dxa" w:w="90"/>
            </w:tcMar>
          </w:tcPr>
          <w:p>
            <w:r>
              <w:rPr>
                <w:b/>
                <w:bCs/>
                <w:sz w:val="19"/>
                <w:szCs w:val="19"/>
              </w:rPr>
              <w:t xml:space="preserve">Work package</w:t>
            </w:r>
          </w:p>
        </w:tc>
        <w:tc>
          <w:tcPr>
            <w:tcW w:type="dxa" w:w="555"/>
            <w:shd w:fill="EEF1F5" w:val="clear"/>
            <w:tcMar>
              <w:top w:type="dxa" w:w="50"/>
              <w:left w:type="dxa" w:w="90"/>
              <w:bottom w:type="dxa" w:w="50"/>
              <w:right w:type="dxa" w:w="90"/>
            </w:tcMar>
          </w:tcPr>
          <w:p>
            <w:r>
              <w:rPr>
                <w:b/>
                <w:bCs/>
                <w:sz w:val="19"/>
                <w:szCs w:val="19"/>
              </w:rPr>
              <w:t xml:space="preserve">Q1</w:t>
            </w:r>
          </w:p>
        </w:tc>
        <w:tc>
          <w:tcPr>
            <w:tcW w:type="dxa" w:w="555"/>
            <w:shd w:fill="EEF1F5" w:val="clear"/>
            <w:tcMar>
              <w:top w:type="dxa" w:w="50"/>
              <w:left w:type="dxa" w:w="90"/>
              <w:bottom w:type="dxa" w:w="50"/>
              <w:right w:type="dxa" w:w="90"/>
            </w:tcMar>
          </w:tcPr>
          <w:p>
            <w:r>
              <w:rPr>
                <w:b/>
                <w:bCs/>
                <w:sz w:val="19"/>
                <w:szCs w:val="19"/>
              </w:rPr>
              <w:t xml:space="preserve">Q2</w:t>
            </w:r>
          </w:p>
        </w:tc>
        <w:tc>
          <w:tcPr>
            <w:tcW w:type="dxa" w:w="555"/>
            <w:shd w:fill="EEF1F5" w:val="clear"/>
            <w:tcMar>
              <w:top w:type="dxa" w:w="50"/>
              <w:left w:type="dxa" w:w="90"/>
              <w:bottom w:type="dxa" w:w="50"/>
              <w:right w:type="dxa" w:w="90"/>
            </w:tcMar>
          </w:tcPr>
          <w:p>
            <w:r>
              <w:rPr>
                <w:b/>
                <w:bCs/>
                <w:sz w:val="19"/>
                <w:szCs w:val="19"/>
              </w:rPr>
              <w:t xml:space="preserve">Q3</w:t>
            </w:r>
          </w:p>
        </w:tc>
        <w:tc>
          <w:tcPr>
            <w:tcW w:type="dxa" w:w="555"/>
            <w:shd w:fill="EEF1F5" w:val="clear"/>
            <w:tcMar>
              <w:top w:type="dxa" w:w="50"/>
              <w:left w:type="dxa" w:w="90"/>
              <w:bottom w:type="dxa" w:w="50"/>
              <w:right w:type="dxa" w:w="90"/>
            </w:tcMar>
          </w:tcPr>
          <w:p>
            <w:r>
              <w:rPr>
                <w:b/>
                <w:bCs/>
                <w:sz w:val="19"/>
                <w:szCs w:val="19"/>
              </w:rPr>
              <w:t xml:space="preserve">Q4</w:t>
            </w:r>
          </w:p>
        </w:tc>
        <w:tc>
          <w:tcPr>
            <w:tcW w:type="dxa" w:w="555"/>
            <w:shd w:fill="EEF1F5" w:val="clear"/>
            <w:tcMar>
              <w:top w:type="dxa" w:w="50"/>
              <w:left w:type="dxa" w:w="90"/>
              <w:bottom w:type="dxa" w:w="50"/>
              <w:right w:type="dxa" w:w="90"/>
            </w:tcMar>
          </w:tcPr>
          <w:p>
            <w:r>
              <w:rPr>
                <w:b/>
                <w:bCs/>
                <w:sz w:val="19"/>
                <w:szCs w:val="19"/>
              </w:rPr>
              <w:t xml:space="preserve">Q5</w:t>
            </w:r>
          </w:p>
        </w:tc>
        <w:tc>
          <w:tcPr>
            <w:tcW w:type="dxa" w:w="555"/>
            <w:shd w:fill="EEF1F5" w:val="clear"/>
            <w:tcMar>
              <w:top w:type="dxa" w:w="50"/>
              <w:left w:type="dxa" w:w="90"/>
              <w:bottom w:type="dxa" w:w="50"/>
              <w:right w:type="dxa" w:w="90"/>
            </w:tcMar>
          </w:tcPr>
          <w:p>
            <w:r>
              <w:rPr>
                <w:b/>
                <w:bCs/>
                <w:sz w:val="19"/>
                <w:szCs w:val="19"/>
              </w:rPr>
              <w:t xml:space="preserve">Q6</w:t>
            </w:r>
          </w:p>
        </w:tc>
        <w:tc>
          <w:tcPr>
            <w:tcW w:type="dxa" w:w="555"/>
            <w:shd w:fill="EEF1F5" w:val="clear"/>
            <w:tcMar>
              <w:top w:type="dxa" w:w="50"/>
              <w:left w:type="dxa" w:w="90"/>
              <w:bottom w:type="dxa" w:w="50"/>
              <w:right w:type="dxa" w:w="90"/>
            </w:tcMar>
          </w:tcPr>
          <w:p>
            <w:r>
              <w:rPr>
                <w:b/>
                <w:bCs/>
                <w:sz w:val="19"/>
                <w:szCs w:val="19"/>
              </w:rPr>
              <w:t xml:space="preserve">Q7</w:t>
            </w:r>
          </w:p>
        </w:tc>
        <w:tc>
          <w:tcPr>
            <w:tcW w:type="dxa" w:w="555"/>
            <w:shd w:fill="EEF1F5" w:val="clear"/>
            <w:tcMar>
              <w:top w:type="dxa" w:w="50"/>
              <w:left w:type="dxa" w:w="90"/>
              <w:bottom w:type="dxa" w:w="50"/>
              <w:right w:type="dxa" w:w="90"/>
            </w:tcMar>
          </w:tcPr>
          <w:p>
            <w:r>
              <w:rPr>
                <w:b/>
                <w:bCs/>
                <w:sz w:val="19"/>
                <w:szCs w:val="19"/>
              </w:rPr>
              <w:t xml:space="preserve">Q8</w:t>
            </w:r>
          </w:p>
        </w:tc>
        <w:tc>
          <w:tcPr>
            <w:tcW w:type="dxa" w:w="555"/>
            <w:shd w:fill="EEF1F5" w:val="clear"/>
            <w:tcMar>
              <w:top w:type="dxa" w:w="50"/>
              <w:left w:type="dxa" w:w="90"/>
              <w:bottom w:type="dxa" w:w="50"/>
              <w:right w:type="dxa" w:w="90"/>
            </w:tcMar>
          </w:tcPr>
          <w:p>
            <w:r>
              <w:rPr>
                <w:b/>
                <w:bCs/>
                <w:sz w:val="19"/>
                <w:szCs w:val="19"/>
              </w:rPr>
              <w:t xml:space="preserve">Q9</w:t>
            </w:r>
          </w:p>
        </w:tc>
        <w:tc>
          <w:tcPr>
            <w:tcW w:type="dxa" w:w="555"/>
            <w:shd w:fill="EEF1F5" w:val="clear"/>
            <w:tcMar>
              <w:top w:type="dxa" w:w="50"/>
              <w:left w:type="dxa" w:w="90"/>
              <w:bottom w:type="dxa" w:w="50"/>
              <w:right w:type="dxa" w:w="90"/>
            </w:tcMar>
          </w:tcPr>
          <w:p>
            <w:r>
              <w:rPr>
                <w:b/>
                <w:bCs/>
                <w:sz w:val="19"/>
                <w:szCs w:val="19"/>
              </w:rPr>
              <w:t xml:space="preserve">Q10</w:t>
            </w:r>
          </w:p>
        </w:tc>
        <w:tc>
          <w:tcPr>
            <w:tcW w:type="dxa" w:w="555"/>
            <w:shd w:fill="EEF1F5" w:val="clear"/>
            <w:tcMar>
              <w:top w:type="dxa" w:w="50"/>
              <w:left w:type="dxa" w:w="90"/>
              <w:bottom w:type="dxa" w:w="50"/>
              <w:right w:type="dxa" w:w="90"/>
            </w:tcMar>
          </w:tcPr>
          <w:p>
            <w:r>
              <w:rPr>
                <w:b/>
                <w:bCs/>
                <w:sz w:val="19"/>
                <w:szCs w:val="19"/>
              </w:rPr>
              <w:t xml:space="preserve">Q11</w:t>
            </w:r>
          </w:p>
        </w:tc>
        <w:tc>
          <w:tcPr>
            <w:tcW w:type="dxa" w:w="555"/>
            <w:shd w:fill="EEF1F5" w:val="clear"/>
            <w:tcMar>
              <w:top w:type="dxa" w:w="50"/>
              <w:left w:type="dxa" w:w="90"/>
              <w:bottom w:type="dxa" w:w="50"/>
              <w:right w:type="dxa" w:w="90"/>
            </w:tcMar>
          </w:tcPr>
          <w:p>
            <w:r>
              <w:rPr>
                <w:b/>
                <w:bCs/>
                <w:sz w:val="19"/>
                <w:szCs w:val="19"/>
              </w:rPr>
              <w:t xml:space="preserve">Q12</w:t>
            </w:r>
          </w:p>
        </w:tc>
      </w:tr>
      <w:tr>
        <w:tc>
          <w:tcPr>
            <w:tcW w:type="dxa" w:w="2412"/>
            <w:tcMar>
              <w:top w:type="dxa" w:w="50"/>
              <w:left w:type="dxa" w:w="90"/>
              <w:bottom w:type="dxa" w:w="50"/>
              <w:right w:type="dxa" w:w="90"/>
            </w:tcMar>
          </w:tcPr>
          <w:p>
            <w:r>
              <w:rPr>
                <w:b w:val="false"/>
                <w:bCs w:val="false"/>
                <w:sz w:val="19"/>
                <w:szCs w:val="19"/>
              </w:rPr>
              <w:t xml:space="preserve">WP1 Synthesis + XAS descriptors</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r>
      <w:tr>
        <w:tc>
          <w:tcPr>
            <w:tcW w:type="dxa" w:w="2412"/>
            <w:tcMar>
              <w:top w:type="dxa" w:w="50"/>
              <w:left w:type="dxa" w:w="90"/>
              <w:bottom w:type="dxa" w:w="50"/>
              <w:right w:type="dxa" w:w="90"/>
            </w:tcMar>
          </w:tcPr>
          <w:p>
            <w:r>
              <w:rPr>
                <w:b w:val="false"/>
                <w:bCs w:val="false"/>
                <w:sz w:val="19"/>
                <w:szCs w:val="19"/>
              </w:rPr>
              <w:t xml:space="preserve">WP2 Devices + switching statistics</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r>
      <w:tr>
        <w:tc>
          <w:tcPr>
            <w:tcW w:type="dxa" w:w="2412"/>
            <w:tcMar>
              <w:top w:type="dxa" w:w="50"/>
              <w:left w:type="dxa" w:w="90"/>
              <w:bottom w:type="dxa" w:w="50"/>
              <w:right w:type="dxa" w:w="90"/>
            </w:tcMar>
          </w:tcPr>
          <w:p>
            <w:r>
              <w:rPr>
                <w:b w:val="false"/>
                <w:bCs w:val="false"/>
                <w:sz w:val="19"/>
                <w:szCs w:val="19"/>
              </w:rPr>
              <w:t xml:space="preserve">WP3 Correlation + operando + publication</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r>
      <w:tr>
        <w:tc>
          <w:tcPr>
            <w:tcW w:type="dxa" w:w="2412"/>
            <w:tcMar>
              <w:top w:type="dxa" w:w="50"/>
              <w:left w:type="dxa" w:w="90"/>
              <w:bottom w:type="dxa" w:w="50"/>
              <w:right w:type="dxa" w:w="90"/>
            </w:tcMar>
          </w:tcPr>
          <w:p>
            <w:r>
              <w:rPr>
                <w:b w:val="false"/>
                <w:bCs w:val="false"/>
                <w:sz w:val="19"/>
                <w:szCs w:val="19"/>
              </w:rPr>
              <w:t xml:space="preserve">WP4 Return phase: transfer + map integration</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r>
    </w:tbl>
    <w:p>
      <w:pPr>
        <w:pStyle w:val="Heading1"/>
        <w:spacing w:after="120" w:before="240"/>
      </w:pPr>
      <w:r>
        <w:t xml:space="preserve">6  Career perspective</w:t>
      </w:r>
    </w:p>
    <w:p>
      <w:pPr>
        <w:spacing w:after="120"/>
      </w:pPr>
      <w:r>
        <w:t xml:space="preserve">The project is the building block between the applicant’s doctorate (memristive devices, PLD, switching statistics) and the goal of an own junior research group in Europe on descriptor-based materials development for memristive oxides. The funded return phase reintegrates the methodology into the European research area (FZ Jülich/RWTH Aachen, JARA) and prepares the ERC Starting Grant/Emmy Noether bid; the MSCA fellowship itself strengthens the European profile of that bid. The choice of PCMO is deliberate: the descriptor axis is added to an already-benchmarked switching axis, on the material of the applicant’s own doctorate – maximum de-risking for the descriptor question. The Stanford/SSRL collaboration will be continued as the transatlantic bridge of the future group.</w:t>
      </w:r>
    </w:p>
    <w:p>
      <w:pPr>
        <w:pStyle w:val="Heading1"/>
        <w:spacing w:after="120" w:before="240"/>
      </w:pPr>
      <w:r>
        <w:t xml:space="preserve">7  References</w:t>
      </w:r>
    </w:p>
    <w:p>
      <w:pPr>
        <w:spacing w:after="120"/>
      </w:pPr>
      <w:r>
        <w:rPr>
          <w:sz w:val="18"/>
          <w:szCs w:val="18"/>
        </w:rPr>
        <w:t xml:space="preserve">[1] R. Waser, M. Aono, Nanoionics-based resistive switching memories. Nature Materials 6, 833–840 (2007).</w:t>
      </w:r>
    </w:p>
    <w:p>
      <w:pPr>
        <w:spacing w:after="120"/>
      </w:pPr>
      <w:r>
        <w:rPr>
          <w:sz w:val="18"/>
          <w:szCs w:val="18"/>
        </w:rPr>
        <w:t xml:space="preserve">[2] R. Waser, R. Dittmann, G. Staikov, K. Szot, Redox-Based Resistive Switching Memories – Nanoionic Mechanisms, Prospects, and Challenges. Advanced Materials 21, 2632–2663 (2009).</w:t>
      </w:r>
    </w:p>
    <w:p>
      <w:pPr>
        <w:spacing w:after="120"/>
      </w:pPr>
      <w:r>
        <w:rPr>
          <w:sz w:val="18"/>
          <w:szCs w:val="18"/>
        </w:rPr>
        <w:t xml:space="preserve">[3] R. Dittmann, S. Menzel, R. Waser, Nanoionic memristive phenomena in metal oxides: the valence change mechanism. Advances in Physics 70, 155–349 (2021).</w:t>
      </w:r>
    </w:p>
    <w:p>
      <w:pPr>
        <w:spacing w:after="120"/>
      </w:pPr>
      <w:r>
        <w:rPr>
          <w:sz w:val="18"/>
          <w:szCs w:val="18"/>
        </w:rPr>
        <w:t xml:space="preserve">[4] S. Menzel, M. Waters, A. Marchewka, U. Böttger, R. Dittmann, R. Waser, Origin of the Ultra-nonlinear Switching Kinetics in Oxide-Based Resistive Switches. Advanced Functional Materials 21, 4487–4492 (2011).</w:t>
      </w:r>
    </w:p>
    <w:p>
      <w:pPr>
        <w:spacing w:after="120"/>
      </w:pPr>
      <w:r>
        <w:rPr>
          <w:sz w:val="18"/>
          <w:szCs w:val="18"/>
        </w:rPr>
        <w:t xml:space="preserve">[5] Y.-L. Lee, J. Kleis, J. Rossmeisl, Y. Shao-Horn, D. Morgan, Prediction of solid oxide fuel cell cathode activity with first-principles descriptors. Energy &amp; Environmental Science 4, 3966–3970 (2011).</w:t>
      </w:r>
    </w:p>
    <w:p>
      <w:pPr>
        <w:spacing w:after="120"/>
      </w:pPr>
      <w:r>
        <w:rPr>
          <w:sz w:val="18"/>
          <w:szCs w:val="18"/>
        </w:rPr>
        <w:t xml:space="preserve">[6] R. Jacobs, J. Hwang, Y. Shao-Horn, D. Morgan, Assessing Correlations of Perovskite Catalytic Performance with Electronic Structure Descriptors. Chemistry of Materials 31, 785–797 (2019).</w:t>
      </w:r>
    </w:p>
    <w:p>
      <w:pPr>
        <w:spacing w:after="120"/>
      </w:pPr>
      <w:r>
        <w:rPr>
          <w:sz w:val="18"/>
          <w:szCs w:val="18"/>
        </w:rPr>
        <w:t xml:space="preserve">[7] A. M. Deml, V. Stevanović, C. L. Muhich, C. B. Musgrave, R. O’Hayre, Oxide enthalpy of formation and band gap energy as accurate descriptors of oxygen vacancy formation energetics. Energy &amp; Environmental Science 7, 1996–2004 (2014).</w:t>
      </w:r>
    </w:p>
    <w:p>
      <w:pPr>
        <w:spacing w:after="120"/>
      </w:pPr>
      <w:r>
        <w:rPr>
          <w:sz w:val="18"/>
          <w:szCs w:val="18"/>
        </w:rPr>
        <w:t xml:space="preserve">[8] R. B. Wexler, G. Sai Gautam, E. B. Stechel, E. A. Carter, Factors Governing Oxygen Vacancy Formation in Oxide Perovskites. Journal of the American Chemical Society 143, 13212–13227 (2021).</w:t>
      </w:r>
    </w:p>
    <w:p>
      <w:pPr>
        <w:spacing w:after="120"/>
      </w:pPr>
      <w:r>
        <w:rPr>
          <w:sz w:val="18"/>
          <w:szCs w:val="18"/>
        </w:rPr>
        <w:t xml:space="preserve">[9] G. Lole, F. Ebrahimi, T. Meyer, D. Mierwaldt, V. Roddatis, J. Geppert, M. Risch, C. Jooss, Contrasting Pr1-xCaxMnO3 OER Catalysts with Different Valences and Covalences. The Journal of Physical Chemistry C 127, 177-186 (2023), DOI 10.1021/acs.jpcc.2c05622.</w:t>
      </w:r>
    </w:p>
    <w:p>
      <w:pPr>
        <w:spacing w:after="120"/>
      </w:pPr>
      <w:r>
        <w:rPr>
          <w:sz w:val="18"/>
          <w:szCs w:val="18"/>
        </w:rPr>
        <w:t xml:space="preserve">[10] M. Abbate et al., Controlled-valence properties of La1-xSrxFeO3 and La1-xSrxMnO3 studied by soft-x-ray absorption spectroscopy. Physical Review B 46, 4511–4519 (1992).</w:t>
      </w:r>
    </w:p>
    <w:p>
      <w:pPr>
        <w:spacing w:after="120"/>
      </w:pPr>
      <w:r>
        <w:rPr>
          <w:sz w:val="18"/>
          <w:szCs w:val="18"/>
        </w:rPr>
        <w:t xml:space="preserve">[11] J. Suntivich et al., Estimating Hybridization of Transition Metal and Oxygen States in Perovskites from O K-edge X-ray Absorption Spectroscopy. Journal of Physical Chemistry C 118, 1856–1863 (2014).</w:t>
      </w:r>
    </w:p>
    <w:p>
      <w:pPr>
        <w:spacing w:after="120"/>
      </w:pPr>
      <w:r>
        <w:rPr>
          <w:sz w:val="18"/>
          <w:szCs w:val="18"/>
        </w:rPr>
        <w:t xml:space="preserve">[12] S. Q. Liu, N. J. Wu, A. Ignatiev, Electric-pulse-induced reversible resistance change effect in magnetoresistive films. Applied Physics Letters 76, 2749–2751 (2000).</w:t>
      </w:r>
    </w:p>
    <w:p>
      <w:pPr>
        <w:spacing w:after="120"/>
      </w:pPr>
      <w:r>
        <w:rPr>
          <w:sz w:val="18"/>
          <w:szCs w:val="18"/>
        </w:rPr>
        <w:t xml:space="preserve">[13] A. Sawa, T. Fujii, M. Kawasaki, Y. Tokura, Hysteretic current–voltage characteristics and resistance switching at a rectifying Ti/Pr0.7Ca0.3MnO3 interface. Applied Physics Letters 85, 4073–4075 (2004).</w:t>
      </w:r>
    </w:p>
    <w:p>
      <w:pPr>
        <w:spacing w:after="120"/>
      </w:pPr>
      <w:r>
        <w:rPr>
          <w:sz w:val="18"/>
          <w:szCs w:val="18"/>
        </w:rPr>
        <w:t xml:space="preserve">[14] A. Herpers, C. Lenser, C. Park, F. Offi, F. Borgatti, G. Panaccione, S. Menzel, R. Waser, R. Dittmann, Spectroscopic proof of the correlation between redox-state and charge-carrier transport at the interface of resistively switching Ti/PCMO devices. Advanced Materials 26, 2730–2735 (2014).</w:t>
      </w:r>
    </w:p>
    <w:p>
      <w:pPr>
        <w:spacing w:after="120"/>
      </w:pPr>
      <w:r>
        <w:rPr>
          <w:sz w:val="18"/>
          <w:szCs w:val="18"/>
        </w:rPr>
        <w:t xml:space="preserve">[15] S. G. Choi, H.-S. Lee, H. Choi, S.-W. Chung, H.-H. Park, The effect of Sr concentration on resistive switching properties of La1-xSrxMnO3 films. Thin Solid Films 529, 352–355 (2013).</w:t>
      </w:r>
    </w:p>
    <w:p>
      <w:pPr>
        <w:spacing w:after="120"/>
      </w:pPr>
      <w:r>
        <w:rPr>
          <w:sz w:val="18"/>
          <w:szCs w:val="18"/>
        </w:rPr>
        <w:t xml:space="preserve">[16] S. Asanuma, H. Akoh, H. Yamada, A. Sawa, Relationship between resistive switching characteristics and band diagrams of Ti/Pr1-xCaxMnO3 junctions. Physical Review B 80, 235113 (2009).</w:t>
      </w:r>
    </w:p>
    <w:p>
      <w:pPr>
        <w:spacing w:after="120"/>
      </w:pPr>
      <w:r>
        <w:rPr>
          <w:sz w:val="18"/>
          <w:szCs w:val="18"/>
        </w:rPr>
        <w:t xml:space="preserve">[17] V. Lähteenlahti, A. Schulman, A. Beiranvand, H. Huhtinen, P. Paturi, Electron Doping Effect in the Resistive Switching Properties of Al/Gd1-xCaxMnO3/Au Memristor Devices. ACS Applied Materials &amp; Interfaces 13, 18365–18371 (2021).</w:t>
      </w:r>
    </w:p>
    <w:p>
      <w:pPr>
        <w:spacing w:after="120"/>
      </w:pPr>
      <w:r>
        <w:rPr>
          <w:sz w:val="18"/>
          <w:szCs w:val="18"/>
        </w:rPr>
        <w:t xml:space="preserve">[18] W. C. Chueh, C. Falter, M. Abbott, D. Scipio, P. Furler, S. M. Haile, A. Steinfeld, High-Flux Solar-Driven Thermochemical Dissociation of CO2 and H2O Using Nonstoichiometric Ceria. Science 330, 1797–1801 (2010).</w:t>
      </w:r>
    </w:p>
    <w:p>
      <w:pPr>
        <w:spacing w:after="120"/>
      </w:pPr>
      <w:r>
        <w:rPr>
          <w:sz w:val="18"/>
          <w:szCs w:val="18"/>
        </w:rPr>
        <w:t xml:space="preserve">[19] D. N. Mueller, M. L. Machala, H. Bluhm, W. C. Chueh, Redox activity of surface oxygen anions in oxygen-deficient perovskite oxides during electrochemical reactions. Nature Communications 6, 6097 (2015).</w:t>
      </w:r>
    </w:p>
    <w:p>
      <w:pPr>
        <w:spacing w:after="120"/>
      </w:pPr>
      <w:r>
        <w:rPr>
          <w:sz w:val="18"/>
          <w:szCs w:val="18"/>
        </w:rPr>
        <w:t xml:space="preserve">[20] C. Baeumer, J. Li, Q. Lu et al. (with W. C. Chueh), Tuning electrochemically driven surface transformation in atomically flat LaNiO3 thin films for enhanced water electrolysis. Nature Materials 20, 674–682 (2021).</w:t>
      </w:r>
    </w:p>
    <w:p>
      <w:pPr>
        <w:spacing w:after="120"/>
      </w:pPr>
      <w:r>
        <w:rPr>
          <w:sz w:val="18"/>
          <w:szCs w:val="18"/>
        </w:rPr>
        <w:t xml:space="preserve">[21] M. Wuttig et al., Revisiting the Nature of Chemical Bonding in Chalcogenides to Explain and Design their Properties. Advanced Materials 35, 2208485 (2023).</w:t>
      </w:r>
    </w:p>
    <w:p>
      <w:pPr>
        <w:spacing w:after="120"/>
      </w:pPr>
      <w:r>
        <w:rPr>
          <w:sz w:val="18"/>
          <w:szCs w:val="18"/>
        </w:rPr>
        <w:t xml:space="preserve">[22] A. Schulman, H. Huhtinen, P. Paturi, Manganite memristive devices: recent progress and emerging opportunities. Journal of Physics D: Applied Physics 57, 422001 (2024).</w:t>
      </w:r>
    </w:p>
    <w:p>
      <w:pPr>
        <w:spacing w:after="120"/>
      </w:pPr>
      <w:r>
        <w:rPr>
          <w:sz w:val="18"/>
          <w:szCs w:val="18"/>
        </w:rPr>
        <w:t xml:space="preserve">[23] A. Antola, J. Laaksonen, H. Huhtinen, I. Angervo, S. Granroth, A. Schulman, P. Laukkanen, P. Paturi, Area-Dependent Resistive Switching and Interfacial Dynamics in GCMO-Based Memristors. ACS Applied Electronic Materials 7, 4242–4250 (2025).</w:t>
      </w:r>
    </w:p>
    <w:p>
      <w:pPr>
        <w:spacing w:after="120"/>
      </w:pPr>
      <w:r>
        <w:rPr>
          <w:sz w:val="18"/>
          <w:szCs w:val="18"/>
        </w:rPr>
        <w:t xml:space="preserve">[24] T. Kramer, M. Scherff, D. Mierwaldt, J. Hoffmann, C. Jooss, Role of oxygen vacancies for resistive switching in noble metal sandwiched Pr0.67Ca0.33MnO3-δ. Applied Physics Letters 110, 243502 (2017).</w:t>
      </w:r>
    </w:p>
    <w:p>
      <w:pPr>
        <w:spacing w:after="120"/>
      </w:pPr>
      <w:r>
        <w:rPr>
          <w:sz w:val="18"/>
          <w:szCs w:val="18"/>
        </w:rPr>
        <w:t xml:space="preserve">[25] T. Nakamura, K. Homma, K. Tachibana, Thin film deposition of metal oxides in resistance switching devices: electrode material dependence of resistance switching in manganite films. Nanoscale Research Letters 8, 76 (2013).</w:t>
      </w:r>
    </w:p>
    <w:p>
      <w:pPr>
        <w:spacing w:after="120"/>
      </w:pPr>
      <w:r>
        <w:rPr>
          <w:sz w:val="18"/>
          <w:szCs w:val="18"/>
        </w:rPr>
        <w:t xml:space="preserve">[26] J. Zaanen, G. A. Sawatzky, J. W. Allen, Band gaps and electronic structure of transition-metal compounds. Physical Review Letters 55, 418–421 (1985).</w:t>
      </w:r>
    </w:p>
    <w:p>
      <w:pPr>
        <w:spacing w:after="120"/>
      </w:pPr>
      <w:r>
        <w:rPr>
          <w:sz w:val="18"/>
          <w:szCs w:val="18"/>
        </w:rPr>
        <w:t xml:space="preserve">[27] A. Fujimori, F. Minami, Valence-band photoemission and optical absorption in nickel compounds. Physical Review B 30, 957–971 (1984).</w:t>
      </w:r>
    </w:p>
    <w:p>
      <w:pPr>
        <w:spacing w:after="120"/>
      </w:pPr>
      <w:r>
        <w:rPr>
          <w:sz w:val="18"/>
          <w:szCs w:val="18"/>
        </w:rPr>
        <w:t xml:space="preserve">[28] A. E. Bocquet, T. Mizokawa, T. Saitoh, H. Namatame, A. Fujimori, Electronic structure of 3d-transition-metal compounds by analysis of the 2p core-level photoemission spectra. Physical Review B 46, 3771–3784 (1992).</w:t>
      </w:r>
    </w:p>
    <w:p>
      <w:pPr>
        <w:spacing w:after="120"/>
      </w:pPr>
      <w:r>
        <w:rPr>
          <w:sz w:val="18"/>
          <w:szCs w:val="18"/>
        </w:rPr>
        <w:t xml:space="preserve">[29] T. Saitoh, A. E. Bocquet, T. Mizokawa, A. Fujimori, Systematic variation of the electronic structure of 3d transition-metal compounds. Physical Review B 52, 7934–7938 (1995).</w:t>
      </w:r>
    </w:p>
    <w:p>
      <w:pPr>
        <w:spacing w:after="120"/>
      </w:pPr>
      <w:r>
        <w:rPr>
          <w:sz w:val="18"/>
          <w:szCs w:val="18"/>
        </w:rPr>
        <w:t xml:space="preserve">[30] S. Nimkar, D. D. Sarma, H. R. Krishnamurthy, S. Ramasesha, Mean-field results of the multiple-band extended Hubbard model for the square-planar CuO2 lattice. Physical Review B 48, 7355–7363 (1993).</w:t>
      </w:r>
    </w:p>
    <w:p>
      <w:pPr>
        <w:spacing w:after="120"/>
      </w:pPr>
      <w:r>
        <w:rPr>
          <w:sz w:val="18"/>
          <w:szCs w:val="18"/>
        </w:rPr>
        <w:t xml:space="preserve">[31] F. M. F. de Groot, X-ray absorption and dichroism of transition metals and their compounds. Journal of Electron Spectroscopy and Related Phenomena 67, 529–622 (1994).</w:t>
      </w:r>
    </w:p>
    <w:p>
      <w:pPr>
        <w:spacing w:after="120"/>
      </w:pPr>
      <w:r>
        <w:rPr>
          <w:sz w:val="18"/>
          <w:szCs w:val="18"/>
        </w:rPr>
        <w:t xml:space="preserve">[32] T. Saitoh, A. E. Bocquet, T. Mizokawa, H. Namatame, A. Fujimori, M. Abbate, Y. Takeda, M. Takano, Electronic structure of La1-xSrxMnO3 studied by photoemission and x-ray-absorption spectroscopy. Physical Review B 51, 13942–13951 (1995).</w:t>
      </w:r>
    </w:p>
    <w:p>
      <w:pPr>
        <w:spacing w:after="120"/>
      </w:pPr>
      <w:r>
        <w:rPr>
          <w:sz w:val="18"/>
          <w:szCs w:val="18"/>
        </w:rPr>
        <w:t xml:space="preserve">[33] K. Ebata, M. Hashimoto, K. Tanaka, A. Fujimori, Y. Tomioka, Y. Tokura, Chemical potential shift and spectral-weight transfer in Pr1-xCaxMnO3. Physical Review B 76, 174418 (2007). [verify exact title before submission]</w:t>
      </w:r>
    </w:p>
    <w:p>
      <w:pPr>
        <w:spacing w:after="120"/>
      </w:pPr>
      <w:r>
        <w:rPr>
          <w:sz w:val="18"/>
          <w:szCs w:val="18"/>
        </w:rPr>
        <w:t xml:space="preserve">[34] H. M. Christen, C. M. Rouleau, I. Ohkubo, H. Y. Zhai, H. N. Lee, S. Sathyamurthy, D. H. Lowndes, An improved continuous compositional-spread technique based on pulsed-laser deposition and applicable to large substrate areas. Review of Scientific Instruments 74, 4058–4062 (2003).</w:t>
      </w:r>
    </w:p>
    <w:p>
      <w:pPr>
        <w:spacing w:after="120"/>
      </w:pPr>
      <w:r>
        <w:rPr>
          <w:sz w:val="18"/>
          <w:szCs w:val="18"/>
        </w:rPr>
        <w:t xml:space="preserve">[35] M. Lorenz, H. Hochmuth, H. von Wenckstern, M. Grundmann, Flexible hardware concept of pulsed laser deposition for large areas and combinatorial composition spreads. Review of Scientific Instruments 94, 083905 (2023).</w:t>
      </w:r>
    </w:p>
    <w:p>
      <w:pPr>
        <w:spacing w:after="120"/>
      </w:pPr>
      <w:r>
        <w:rPr>
          <w:sz w:val="18"/>
          <w:szCs w:val="18"/>
        </w:rPr>
        <w:t xml:space="preserve">[36] A. Venimadhav, K. A. Yates, M. G. Blamire, Scanning Raman Spectroscopy for Characterizing Compositionally Spread Films. Journal of Combinatorial Chemistry 7, 85–89 (2005).</w:t>
      </w:r>
    </w:p>
    <w:p>
      <w:pPr>
        <w:spacing w:after="120"/>
      </w:pPr>
      <w:r>
        <w:rPr>
          <w:sz w:val="18"/>
          <w:szCs w:val="18"/>
        </w:rPr>
        <w:t xml:space="preserve">[37] Y. Yamasaki, N. Sasabe, Y. Ishii, Y. Sekiguchi, A. Sumiyoshiya, Y. Tanimoto, Y. Kotani, T. Nakamura, H. Nomura, High-throughput mapping of magnetic properties via the on-the-fly XMCD spectroscopy in a combinatorial Fe-Co-Ni film. Science and Technology of Advanced Materials: Methods 5, 2544528 (2025). [volume/article number from a single source – verify before submission]</w:t>
      </w:r>
    </w:p>
    <w:p>
      <w:pPr>
        <w:spacing w:after="120"/>
      </w:pPr>
      <w:r>
        <w:rPr>
          <w:sz w:val="18"/>
          <w:szCs w:val="18"/>
        </w:rPr>
        <w:t xml:space="preserve">[38] D. C. Grinter, P. Ferrer, F. Venturini, M. A. van Spronsen, A. I. Large et al., VerSoX B07-B: a high-throughput XPS and ambient pressure NEXAFS beamline at Diamond Light Source. Journal of Synchrotron Radiation 31, 578–589 (2024).</w:t>
      </w:r>
    </w:p>
    <w:p>
      <w:pPr>
        <w:spacing w:after="120"/>
      </w:pPr>
      <w:r>
        <w:rPr>
          <w:sz w:val="18"/>
          <w:szCs w:val="18"/>
        </w:rPr>
        <w:t xml:space="preserve">[39] M. Tang, L. Dai, M. Cheng, Y. Zhang, Y. Wang et al., High-Throughput Screening Thickness-Dependent Resistive Switching in SrTiO3 Thin Films for Robust Electronic Synapse. Advanced Functional Materials 33, 2213874 (2023).</w:t>
      </w:r>
    </w:p>
    <w:p>
      <w:pPr>
        <w:spacing w:after="120"/>
      </w:pPr>
      <w:r>
        <w:rPr>
          <w:sz w:val="18"/>
          <w:szCs w:val="18"/>
        </w:rPr>
        <w:t xml:space="preserve">[40] S. Wicklein, A. Sambri, S. Amoruso, X. Wang, R. Bruzzese, A. Koehl, R. Dittmann, Pulsed laser ablation of complex oxides: The role of congruent ablation and preferential scattering for the film stoichiometry. Applied Physics Letters 101, 131601 (2012).</w:t>
      </w:r>
    </w:p>
    <w:p>
      <w:pPr>
        <w:spacing w:after="120"/>
      </w:pPr>
      <w:r>
        <w:rPr>
          <w:sz w:val="18"/>
          <w:szCs w:val="18"/>
        </w:rPr>
        <w:t xml:space="preserve">[41] W. C. Chueh, S. M. Haile, Electrochemical studies of capacitance in cerium oxide thin films and its relationship to anionic and electronic defect densities. Physical Chemistry Chemical Physics 11, 8144–8148 (2009).</w:t>
      </w:r>
    </w:p>
    <w:p>
      <w:pPr>
        <w:spacing w:after="120"/>
      </w:pPr>
      <w:r>
        <w:rPr>
          <w:sz w:val="18"/>
          <w:szCs w:val="18"/>
        </w:rPr>
        <w:t xml:space="preserve">[42] A. Schmid, G. M. Rupp, J. Fleig, Voltage and partial pressure dependent defect chemistry in (La,Sr)FeO3-δ thin films investigated by chemical capacitance measurements. Physical Chemistry Chemical Physics 20, 12016–12026 (2018).</w:t>
      </w:r>
    </w:p>
    <w:p>
      <w:pPr>
        <w:spacing w:after="120"/>
      </w:pPr>
      <w:r>
        <w:rPr>
          <w:sz w:val="18"/>
          <w:szCs w:val="18"/>
        </w:rPr>
        <w:t xml:space="preserve">[43] J. J. Kim, S. R. Bishop, N. J. Thompson, H. L. Tuller, Investigation of Nonstoichiometry in Oxide Thin Films by Simultaneous in Situ Optical Absorption and Chemical Capacitance Measurements: Pr-Doped Ceria, a Case Study. Chemistry of Materials 26, 1374–1379 (2014).</w:t>
      </w:r>
    </w:p>
    <w:p>
      <w:pPr>
        <w:spacing w:after="120"/>
      </w:pPr>
      <w:r>
        <w:rPr>
          <w:sz w:val="18"/>
          <w:szCs w:val="18"/>
        </w:rPr>
        <w:t xml:space="preserve">[E1] M. Buczek et al., Amorphous, Highly Conductive Pr0.7Ca0.3MnO3 for Area-Dependent Resistive Switching Devices. Advanced Electronic Materials (2026, accepted).</w:t>
      </w:r>
    </w:p>
    <w:p>
      <w:pPr>
        <w:spacing w:after="120"/>
      </w:pPr>
      <w:r>
        <w:rPr>
          <w:sz w:val="18"/>
          <w:szCs w:val="18"/>
        </w:rPr>
        <w:t xml:space="preserve">[E2] M. Buczek, Z. Moos, A. Gutsche, S. Menzel, R. Dittmann, Pr1-xCaxMnO3-Based Memristive Heterostructures: Basic Mechanisms and Applications. Chemical Reviews 125, 6156–6202 (2025).</w:t>
      </w:r>
    </w:p>
    <w:p>
      <w:pPr>
        <w:spacing w:after="120"/>
      </w:pPr>
      <w:r>
        <w:rPr>
          <w:sz w:val="18"/>
          <w:szCs w:val="18"/>
        </w:rPr>
        <w:t xml:space="preserve">[E3] M. Buczek et al., Large Area Pulsed Laser Deposition of Memristive Pr0.7Ca0.3MnO3 Heterostructures for Neuromorphic Computing. Thin Solid Films (2024).</w:t>
      </w:r>
    </w:p>
    <w:p>
      <w:pPr>
        <w:pStyle w:val="Heading1"/>
        <w:spacing w:after="120" w:before="240"/>
      </w:pPr>
      <w:r>
        <w:t xml:space="preserve">8  Notes before submission</w:t>
      </w:r>
    </w:p>
    <w:p>
      <w:pPr>
        <w:spacing w:after="120"/>
      </w:pPr>
      <w:r>
        <w:rPr>
          <w:sz w:val="18"/>
          <w:szCs w:val="18"/>
        </w:rPr>
        <w:t xml:space="preserve">• Verify all bracketed programme details (rates, deadlines, current call conditions) against the funder’s current documentation. • Coordinate the proposal with Prof. Chueh and fix the German/European host institution. • European host institution acts as applicant – letter of commitment, supervision agreement (both hosts) and training plan required per MSCA template. • Manuscript placeholders in the publication list ([E1]) to be updated at submission time.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2026-08-10T22:40:37.426Z</dcterms:created>
  <dcterms:modified xsi:type="dcterms:W3CDTF">2026-08-10T22:40:37.426Z</dcterms:modified>
</cp:coreProperties>
</file>

<file path=docProps/custom.xml><?xml version="1.0" encoding="utf-8"?>
<Properties xmlns="http://schemas.openxmlformats.org/officeDocument/2006/custom-properties" xmlns:vt="http://schemas.openxmlformats.org/officeDocument/2006/docPropsVTypes"/>
</file>