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switching-proven SrCoOx anchor, measured under inert Au/Pt electrodes – the geometry in which the end member’s switching is already published – with an experimentally measured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with its SrCoOx anchor, established the O-K/Co-L covalency scale across it at SSRL, and correlated it with switching in noble-contact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295451038"/>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295451038"/>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295451038"/>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295451038"/>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295451038"/>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295451038"/>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295451038"/>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295451038"/>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295451038"/>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295451038"/>
        <w:rPr>
          <w:rFonts w:ascii="Arial" w:hAnsi="Arial" w:cs="Arial"/>
          <w:sz w:val="18"/>
          <w:szCs w:val="18"/>
        </w:rPr>
      </w:pPr>
      <w:r>
        <w:rPr>
          <w:rFonts w:ascii="Arial" w:hAnsi="Arial" w:cs="Arial"/>
          <w:sz w:val="18"/>
          <w:szCs w:val="18"/>
        </w:rPr>
        <w:t xml:space="preserve">[53] J. J. Kim, S. R. Bishop, N. J. Thompson, H. L. Tuller, Chemistry of Materials 26, 1374-1379 (2014).</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for memristive cobaltites: epitaxial </w:t>
            </w:r>
            <w:r>
              <w:rPr>
                <w:rFonts w:ascii="Arial" w:eastAsia="Times New Roman" w:hAnsi="Arial" w:cs="Arial"/>
                <w:sz w:val="19"/>
                <w:szCs w:val="19"/>
              </w:rPr>
              <w:t xml:space="preserve">La</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Sr</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CoO</w:t>
            </w:r>
            <w:r>
              <w:rPr>
                <w:rFonts w:ascii="Arial" w:eastAsia="Times New Roman" w:hAnsi="Arial" w:cs="Arial"/>
                <w:sz w:val="19"/>
                <w:szCs w:val="19"/>
                <w:vertAlign w:val="subscript"/>
              </w:rPr>
              <w:t xml:space="preserve">3-δ</w:t>
            </w:r>
            <w:r>
              <w:rPr>
                <w:rFonts w:ascii="Arial" w:eastAsia="Times New Roman" w:hAnsi="Arial" w:cs="Arial"/>
                <w:sz w:val="19"/>
                <w:szCs w:val="19"/>
              </w:rPr>
              <w:t xml:space="preserve"> pilot series with noble-contact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