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the La1-xSrxCoO3-δ Series with its Switching-Proven SrCoOx End Member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t>
      </w:r>
      <w:r>
        <w:t xml:space="preserve">with the O-K pre-edge usable as a series-internal hybridisation measure [12, 13]</w:t>
      </w:r>
      <w:r>
        <w:t xml:space="preserve">.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w:t>
      </w:r>
      <w:r>
        <w:t xml:space="preserve">the descriptor scale of this project is calibrated against cluster-model analysis, not against pre-edge intensity alone. System-specific parameter status (re-screening, 09.08.2026): the cluster-model basis of this series is the strongest of the portfolio – two independent CI analyses cover the full composition range ([9] and [32]), with the end members anchored by dedicated cluster analyses (LaCoO3 [33]; intermediate-spin Co4+ with dominant d6L character in SrCoO3 [34]); Δ/U are fitted at the end members, a per-composition Δ(x) remains to be established.</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[35] on a large-area PLD system of the type I have already used for wafer-scale memristive heterostructures [E3]; combinatorial hardware of this class covers substrates up to four inches [36], and epitaxial perovskite composition spreads are established [37]. Spatially resolved soft XAS turns such a wafer into a continuous covalency map – on-the-fly L-edge mapping of a combinatorial spread with a 0.5 mm beam has recently been demonstrated [38], and beamlines built for automated high-throughput NEXAFS exist for exactly this duty cycle [39] – while automated prober mapping of device arrays along the same gradient track yields the corresponding switching map [40].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[35], cation transfer is fluence- and pO2-sensitive and therefore calibrated per position [41],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[42], chemical expansion (high-temperature XRD) or a reference of known stoichiometry; optical absorption provides a second, fully imageable δ read-out [44]. Thin-film defect chemistry of exactly this type is established for ceria films [42] and for (La,Sr)FeO3-δ films [43],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[39].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spacing w:after="120"/>
      </w:pPr>
      <w: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w:t>
      </w:r>
      <w:r>
        <w:t xml:space="preserve"> In parallel with the discrete samples, a gradient wafer of the same system is grown in continuous-compositional-spread mode [35, 36]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w:t>
      </w:r>
      <w: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[39], with equilibrium and radiation-dose controls preceding any descriptor claim.</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[25]. The choice of LSCO for this fellowship is deliberate: it is the one perovskite family whose covalency→EV link is already published in quantitative form [10, 11], so the fellowship data feed directly into the descriptor map of the subsequent group programme, and its cobaltite axis pairs naturally with the ferrite series (LSFO/SrFeOx) of the planned Emmy Noether/ERC programme.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A. Chainani, M. Mathew, D. D. Sarma, Electron-spectroscopy study of the semiconductor-metal transition in La1-xSrxCoO3. Physical Review B 46, 9976–9983 (1992).</w:t>
      </w:r>
    </w:p>
    <w:p>
      <w:pPr>
        <w:spacing w:after="120"/>
      </w:pPr>
      <w:r>
        <w:rPr>
          <w:sz w:val="18"/>
          <w:szCs w:val="18"/>
        </w:rPr>
        <w:t xml:space="preserve">[33] T. Saitoh, T. Mizokawa, A. Fujimori, M. Abbate, Y. Takeda, M. Takano, Electronic structure and temperature-induced paramagnetism in LaCoO3. Physical Review B 55, 4257–4266 (1997).</w:t>
      </w:r>
    </w:p>
    <w:p>
      <w:pPr>
        <w:spacing w:after="120"/>
      </w:pPr>
      <w:r>
        <w:rPr>
          <w:sz w:val="18"/>
          <w:szCs w:val="18"/>
        </w:rPr>
        <w:t xml:space="preserve">[34] R. H. Potze, G. A. Sawatzky, M. Abbate, Possibility for an intermediate-spin ground state in the charge-transfer material SrCoO3. Physical Review B 51, 11501–11506 (1995).</w:t>
      </w:r>
    </w:p>
    <w:p>
      <w:pPr>
        <w:spacing w:after="120"/>
      </w:pPr>
      <w:r>
        <w:rPr>
          <w:sz w:val="18"/>
          <w:szCs w:val="18"/>
        </w:rPr>
        <w:t xml:space="preserve">[35]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[36]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[37] A. Venimadhav, K. A. Yates, M. G. Blamire, Scanning Raman Spectroscopy for Characterizing Compositionally Spread Films. Journal of Combinatorial Chemistry 7, 85–89 (2005).</w:t>
      </w:r>
    </w:p>
    <w:p>
      <w:pPr>
        <w:spacing w:after="120"/>
      </w:pPr>
      <w:r>
        <w:rPr>
          <w:sz w:val="18"/>
          <w:szCs w:val="18"/>
        </w:rPr>
        <w:t xml:space="preserve">[38]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[39]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[40]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[41]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[42]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[43]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[44]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An experimental covalency scale for memristive La1-xSrxCoO3-δ].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2026-08-09T17:57:15.386Z</dcterms:created>
  <dcterms:modified xsi:type="dcterms:W3CDTF">2026-08-09T17:57:15.388Z</dcterms:modified>
</cp:coreProperties>
</file>

<file path=docProps/custom.xml><?xml version="1.0" encoding="utf-8"?>
<Properties xmlns="http://schemas.openxmlformats.org/officeDocument/2006/custom-properties" xmlns:vt="http://schemas.openxmlformats.org/officeDocument/2006/docPropsVTypes"/>
</file>