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Marie Skłodowska-Curie Actions – Postdoctoral Fellowship (Global Fellowship)</w:t>
      </w:r>
    </w:p>
    <w:p>
      <w:pPr>
        <w:pStyle w:val="Title"/>
      </w:pPr>
      <w:r>
        <w:t xml:space="preserve">Covalency as an Experimental Descriptor of Memristive Switching: the La1-xSrxCoO3-δ Series with its SrCoOx Anchor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36 months (24 outgoing + 12 return)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Global Postdoctoral Fellowship: 24-month outgoing phase at Stanford University / SLAC (third country) + mandatory 12-month return phase at the European host [FZ Jülich or RWTH Aachen as applicant/beneficiary organisation]</w:t>
            </w:r>
          </w:p>
        </w:tc>
      </w:tr>
      <w:tr>
        <w:tc>
          <w:tcPr>
            <w:tcW w:type="dxa" w:w="2400"/>
            <w:shd w:fill="EEF1F5" w:val="clear"/>
            <w:tcMar>
              <w:top w:type="dxa" w:w="50"/>
              <w:left w:type="dxa" w:w="90"/>
              <w:bottom w:type="dxa" w:w="50"/>
              <w:right w:type="dxa" w:w="90"/>
            </w:tcMar>
          </w:tcPr>
          <w:p>
            <w:r>
              <w:rPr>
                <w:b/>
                <w:bCs/>
                <w:sz w:val="19"/>
                <w:szCs w:val="19"/>
              </w:rPr>
              <w:t xml:space="preserve">Funding</w:t>
            </w:r>
          </w:p>
        </w:tc>
        <w:tc>
          <w:tcPr>
            <w:tcW w:type="dxa" w:w="6672"/>
            <w:tcMar>
              <w:top w:type="dxa" w:w="50"/>
              <w:left w:type="dxa" w:w="90"/>
              <w:bottom w:type="dxa" w:w="50"/>
              <w:right w:type="dxa" w:w="90"/>
            </w:tcMar>
          </w:tcPr>
          <w:p>
            <w:r>
              <w:rPr>
                <w:b w:val="false"/>
                <w:bCs w:val="false"/>
                <w:sz w:val="19"/>
                <w:szCs w:val="19"/>
              </w:rPr>
              <w:t xml:space="preserve">Horizon Europe unit costs: living, mobility and (if applicable) family allowances, country-corrected [insert current rates]</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PhD ≤ 8 years at call deadline; MSCA mobility rule for the outgoing host country (max. 12 months in the USA within the 36 months before the deadline) [verify against personal record]</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single-stage call [insert current deadline, typically September], submitted by the European host institution</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Explicit training, supervision and two-way knowledge-transfer requirements; funded 12-month return phase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Energy research, by contrast, has quantitatively established that EV in perovskites is controlled by the metal–oxygen covalency [5–8]. My project connects these two worlds experimentally – using La1-xSrxCoO3-δ (LSCO), the cobaltite series with the most explicitly documented covalency→EV link of any perovskite family.</w:t>
      </w:r>
    </w:p>
    <w:p>
      <w:pPr>
        <w:spacing w:after="120"/>
      </w:pPr>
      <w:r>
        <w:t xml:space="preserve">LSCO satisfies all three evidence criteria of my descriptor programme. (i) Covalency vs. stoichiometry is measured: O-1s XAS across the series shows the O-2p hole states growing systematically with Sr content [9], with the O-K pre-edge usable as a series-internal hybridisation measure [12, 13]. (ii) EV vs. covalency is anchored twice over – experimentally through the classical oxygen-nonstoichiometry defect chemistry of Mizusaki et al. [10], and mechanistically through Mefford et al., who explicitly trace the vacancy formation energetics of LSCO to the Co–O covalency [11]. (iii) Switching at a noble-metal interface is demonstrated at the Sr-rich end: the “oxygen sponge” SrCoOx [14] switches topotactically in Au-active stacks – Au/SrCoO2.5/La0.7Sr0.3MnO3 [15], Au/SrCoO2.5/Nb:SrTiO3 [16] – with analog synaptic operation [17], strain control [18] and low-power operation [19] all published. The gap: for intermediate compositions 0 &lt; x &lt; 1 only reactive-electrode (Ag) devices exist [21] – no noble-interface composition series. Because the end member already switches under inert electrodes, this gap is an optimisation space, not a feasibility risk: the project both maps the covalency correlation and optimises the switching window via the Sr content, in direct analogy to the ferrite series of my group programme (LSFO with its switching-proven SrFeOx end member).</w:t>
      </w:r>
    </w:p>
    <w:p>
      <w:pPr>
        <w:spacing w:after="120"/>
      </w:pPr>
      <w:r>
        <w:t xml:space="preserve">Known design constraints are addressed openly: LSCO metallises percolatively around x ≈ 0.18, Co spin-state degrees of freedom add a second electronic variable, and the Sr-rich end approaches brownmillerite vacancy ordering [14, 20]. The series therefore concentrates on x = 0–0.5 with dense sampling around the insulator–metal boundary and treats the topotactic end member as a charted mechanism boundary – the same honest framing that the ferrite series uses. My central hypothesis: the usable switching window of noble-contacted LSCO devices scales with the XAS-measured covalency and is maximal at intermediate x (“Goldilocks zone”).</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[26] and as extracted compound by compound by the configuration-interaction analyses of Fujimori, Bocquet, Saitoh, Sarma and co-workers [27–30]. O-K pre-edge intensities serve as a relative, series-internal hybridisation measure only; their limits as an absolute covalency scale (core-hole effects, ligand-hole distribution, band effects) are treated explicitly [31],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the cluster-model basis of this series is the strongest of the portfolio – two independent CI analyses cover the full composition range ([9] and [32]), with the end members anchored by dedicated cluster analyses (LaCoO3 [33]; intermediate-spin Co4+ with dominant d6L character in SrCoO3 [34]); Δ/U are fitted at the end members, a per-composition Δ(x) remains to be established.</w:t>
      </w:r>
    </w:p>
    <w:p>
      <w:pPr>
        <w:spacing w:after="120"/>
      </w:pPr>
      <w:r>
        <w:t xml:space="preserve">Methodological platform (added 08/2026) – one wafer, one map: beyond discrete samples, the composition series is realised as a single wafer carrying a continuous lateral cation-stoichiometry gradient, grown in continuous-compositional-spread mode [35] on a large-area PLD system of the type I have already used for wafer-scale memristive heterostructures [E3]; combinatorial hardware of this class covers substrates up to four inches [36], and epitaxial perovskite composition spreads are established [37]. Spatially resolved soft XAS turns such a wafer into a continuous covalency map – on-the-fly L-edge mapping of a combinatorial spread with a 0.5 mm beam has recently been demonstrated [38], and beamlines built for automated high-throughput NEXAFS exist for exactly this duty cycle [39] – while automated prober mapping of device arrays along the same gradient track yields the corresponding switching map [40].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[35], cation transfer is fluence- and pO2-sensitive and therefore calibrated per position [41], and structural quality across the wafer is mapped rather than assumed.</w:t>
      </w:r>
    </w:p>
    <w:p>
      <w:pPr>
        <w:spacing w:after="120"/>
      </w:pPr>
      <w: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[42], chemical expansion (high-temperature XRD) or a reference of known stoichiometry; optical absorption provides a second, fully imageable δ read-out [44]. Thin-film defect chemistry of exactly this type is established for ceria films [42] and for (La,Sr)FeO3-δ films [43],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spacing w:after="120"/>
      </w:pPr>
      <w: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[39].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pPr>
        <w:pStyle w:val="Heading1"/>
        <w:spacing w:after="120" w:before="240"/>
      </w:pPr>
      <w:r>
        <w:t xml:space="preserve">2  Programme fit and strategy</w:t>
      </w:r>
    </w:p>
    <w:p>
      <w:pPr>
        <w:spacing w:after="120"/>
      </w:pPr>
      <w:r>
        <w:t xml:space="preserve">The MSCA Global Fellowship funds the project as a 24-month outgoing phase at Stanford plus a mandatory, funded 12-month return phase at the European host. The return phase institutionalises exactly what the planned group programme needs: transfer of the SSRL-proven XAS protocols to European beamlines, integration of the descriptor dataset into the map, and preparation of the ERC/Emmy Noether bid. MSCA-specific proposal sections (training objectives, supervision arrangement between Prof. Chueh and the German host, dissemination and exploitation plan, two-way transfer of knowledge) must be completed per the current template.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[22–24]. The group’s seminal work on the redox activity of oxygen anions in oxygen-deficient perovskites [23] is a direct methodological blueprint for my project; the Nature Materials study on atomically defined LaNiO3 surfaces [24]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(months 1–10, Stanford)</w:t>
      </w:r>
    </w:p>
    <w:p>
      <w:pPr>
        <w:spacing w:after="120"/>
      </w:pPr>
      <w:r>
        <w:t xml:space="preserve">PLD growth of epitaxial La1-xSrxCoO3-δ films (x = 0; 0.1; 0.2; 0.3; 0.4; 0.5, dense sampling across the percolative metallisation) plus the SrCoO2.5 anchor composition on Nb:SrTiO3 and La0.7Sr0.3MnO3-buffered SrTiO3 in the Stanford/SLAC thin-film laboratories; structural validation (XRD, AFM); cation and oxygen stoichiometry (XPS, RBS where required). In parallel, first XAS campaign at SSRL: O-K pre-edge quantification following [12] and Co-L2,3 valence analysis for every composition → experimental covalency scale, benchmarked against the published series spectroscopy [9] and defect chemistry [10]. Milestone M1 (month 10): validated sample series with complete descriptor set. In parallel with the discrete samples, a gradient wafer of the same system is grown in continuous-compositional-spread mode [35, 36] and calibrated position by position (XRF/WDS composition map, XRR thickness, XRD structural quality); the discrete series remains the backbone of the analysis, the gradient wafer is the throughput accelerator and the carrier of the defect-chemical titration in WP3.</w:t>
      </w:r>
    </w:p>
    <w:p>
      <w:pPr>
        <w:spacing w:after="120"/>
      </w:pPr>
      <w:r>
        <w:rPr>
          <w:b/>
          <w:bCs/>
        </w:rPr>
        <w:t xml:space="preserve">WP2 – Devices and switching characterisation (months 8–18, Stanford)</w:t>
      </w:r>
    </w:p>
    <w:p>
      <w:pPr>
        <w:spacing w:after="120"/>
      </w:pPr>
      <w:r>
        <w:t xml:space="preserve">Two device flavours per composition, processed photolithographically with ≥ 30 nominally identical cells each: (i) Au-active pads replicating the proven end-member geometry [15, 16] across the whole series, and (ii) Pt pads as the second inert flavour. Quasistatic and pulsed characterisation under the statistics protocol established in my doctorate (ON/OFF at defined read-out voltage, forming requirement, kinetics, temperature-accelerated retention, endurance). The SrCoOx anchor cells reproduce the published benchmark and de-risk the processing. Milestone M2 (month 18): switching figures of merit as a function of x with robust statistics.</w:t>
      </w:r>
    </w:p>
    <w:p>
      <w:pPr>
        <w:spacing w:after="120"/>
      </w:pPr>
      <w:r>
        <w:rPr>
          <w:b/>
          <w:bCs/>
        </w:rPr>
        <w:t xml:space="preserve">WP3 – Correlation, operando validation and publication (months 16–24, Stanford)</w:t>
      </w:r>
    </w:p>
    <w:p>
      <w:pPr>
        <w:spacing w:after="120"/>
      </w:pPr>
      <w:r>
        <w:t xml:space="preserve">Correlation analysis covalency (XAS) ↔ EV (defect chemistry [10], descriptor models [5–8, 11]) ↔ switching metrics; test of the optimum hypothesis. Second SSRL campaign: XAS on switched cells (ex-situ before/after switching, operando if successful) to verify that composition-dependent differences rest on different VO dynamics. Publication of the first covalency-resolved cobaltite memristor study; dataset released following FAIR principles. Milestone M3 (month 24): submitted publication(s), public dataset. On the gradient wafer, the defect-chemical gas titration introduced in Section 1 is carried out: δ(x; pO2, T) from oxidising and reducing equilibria yields ΔHred(x) and thus a covalency↔EV correlation measured spot-by-spot against the descriptor on one and the same sample [39], with equilibrium and radiation-dose controls preceding any descriptor claim.</w:t>
      </w:r>
    </w:p>
    <w:p>
      <w:pPr>
        <w:spacing w:after="120"/>
      </w:pPr>
      <w:r>
        <w:rPr>
          <w:b/>
          <w:bCs/>
        </w:rPr>
        <w:t xml:space="preserve">WP4 – Return phase: European transfer and map integration (months 25–36, [RWTH Aachen / FZ Jülich])</w:t>
      </w:r>
    </w:p>
    <w:p>
      <w:pPr>
        <w:spacing w:after="120"/>
      </w:pPr>
      <w:r>
        <w:t xml:space="preserve">European beamline campaigns (BESSY II/PETRA III) transferring the SSRL-proven XAS protocols; cross-class integration of the descriptor dataset into the map; publication of the extended dataset; preparation and submission of the junior-group proposal (Emmy Noether/ERC); supervision and training plan per MSCA rules spanning both phases. Milestone M4 (month 36): map integration complete, group proposal submitted.</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12"/>
        <w:gridCol w:w="555"/>
        <w:gridCol w:w="555"/>
        <w:gridCol w:w="555"/>
        <w:gridCol w:w="555"/>
        <w:gridCol w:w="555"/>
        <w:gridCol w:w="555"/>
        <w:gridCol w:w="555"/>
        <w:gridCol w:w="555"/>
        <w:gridCol w:w="555"/>
        <w:gridCol w:w="555"/>
        <w:gridCol w:w="555"/>
        <w:gridCol w:w="555"/>
      </w:tblGrid>
      <w:tr>
        <w:tc>
          <w:tcPr>
            <w:tcW w:type="dxa" w:w="2412"/>
            <w:shd w:fill="EEF1F5" w:val="clear"/>
            <w:tcMar>
              <w:top w:type="dxa" w:w="50"/>
              <w:left w:type="dxa" w:w="90"/>
              <w:bottom w:type="dxa" w:w="50"/>
              <w:right w:type="dxa" w:w="90"/>
            </w:tcMar>
          </w:tcPr>
          <w:p>
            <w:r>
              <w:rPr>
                <w:b/>
                <w:bCs/>
                <w:sz w:val="19"/>
                <w:szCs w:val="19"/>
              </w:rPr>
              <w:t xml:space="preserve">Work package</w:t>
            </w:r>
          </w:p>
        </w:tc>
        <w:tc>
          <w:tcPr>
            <w:tcW w:type="dxa" w:w="555"/>
            <w:shd w:fill="EEF1F5" w:val="clear"/>
            <w:tcMar>
              <w:top w:type="dxa" w:w="50"/>
              <w:left w:type="dxa" w:w="90"/>
              <w:bottom w:type="dxa" w:w="50"/>
              <w:right w:type="dxa" w:w="90"/>
            </w:tcMar>
          </w:tcPr>
          <w:p>
            <w:r>
              <w:rPr>
                <w:b/>
                <w:bCs/>
                <w:sz w:val="19"/>
                <w:szCs w:val="19"/>
              </w:rPr>
              <w:t xml:space="preserve">Q1</w:t>
            </w:r>
          </w:p>
        </w:tc>
        <w:tc>
          <w:tcPr>
            <w:tcW w:type="dxa" w:w="555"/>
            <w:shd w:fill="EEF1F5" w:val="clear"/>
            <w:tcMar>
              <w:top w:type="dxa" w:w="50"/>
              <w:left w:type="dxa" w:w="90"/>
              <w:bottom w:type="dxa" w:w="50"/>
              <w:right w:type="dxa" w:w="90"/>
            </w:tcMar>
          </w:tcPr>
          <w:p>
            <w:r>
              <w:rPr>
                <w:b/>
                <w:bCs/>
                <w:sz w:val="19"/>
                <w:szCs w:val="19"/>
              </w:rPr>
              <w:t xml:space="preserve">Q2</w:t>
            </w:r>
          </w:p>
        </w:tc>
        <w:tc>
          <w:tcPr>
            <w:tcW w:type="dxa" w:w="555"/>
            <w:shd w:fill="EEF1F5" w:val="clear"/>
            <w:tcMar>
              <w:top w:type="dxa" w:w="50"/>
              <w:left w:type="dxa" w:w="90"/>
              <w:bottom w:type="dxa" w:w="50"/>
              <w:right w:type="dxa" w:w="90"/>
            </w:tcMar>
          </w:tcPr>
          <w:p>
            <w:r>
              <w:rPr>
                <w:b/>
                <w:bCs/>
                <w:sz w:val="19"/>
                <w:szCs w:val="19"/>
              </w:rPr>
              <w:t xml:space="preserve">Q3</w:t>
            </w:r>
          </w:p>
        </w:tc>
        <w:tc>
          <w:tcPr>
            <w:tcW w:type="dxa" w:w="555"/>
            <w:shd w:fill="EEF1F5" w:val="clear"/>
            <w:tcMar>
              <w:top w:type="dxa" w:w="50"/>
              <w:left w:type="dxa" w:w="90"/>
              <w:bottom w:type="dxa" w:w="50"/>
              <w:right w:type="dxa" w:w="90"/>
            </w:tcMar>
          </w:tcPr>
          <w:p>
            <w:r>
              <w:rPr>
                <w:b/>
                <w:bCs/>
                <w:sz w:val="19"/>
                <w:szCs w:val="19"/>
              </w:rPr>
              <w:t xml:space="preserve">Q4</w:t>
            </w:r>
          </w:p>
        </w:tc>
        <w:tc>
          <w:tcPr>
            <w:tcW w:type="dxa" w:w="555"/>
            <w:shd w:fill="EEF1F5" w:val="clear"/>
            <w:tcMar>
              <w:top w:type="dxa" w:w="50"/>
              <w:left w:type="dxa" w:w="90"/>
              <w:bottom w:type="dxa" w:w="50"/>
              <w:right w:type="dxa" w:w="90"/>
            </w:tcMar>
          </w:tcPr>
          <w:p>
            <w:r>
              <w:rPr>
                <w:b/>
                <w:bCs/>
                <w:sz w:val="19"/>
                <w:szCs w:val="19"/>
              </w:rPr>
              <w:t xml:space="preserve">Q5</w:t>
            </w:r>
          </w:p>
        </w:tc>
        <w:tc>
          <w:tcPr>
            <w:tcW w:type="dxa" w:w="555"/>
            <w:shd w:fill="EEF1F5" w:val="clear"/>
            <w:tcMar>
              <w:top w:type="dxa" w:w="50"/>
              <w:left w:type="dxa" w:w="90"/>
              <w:bottom w:type="dxa" w:w="50"/>
              <w:right w:type="dxa" w:w="90"/>
            </w:tcMar>
          </w:tcPr>
          <w:p>
            <w:r>
              <w:rPr>
                <w:b/>
                <w:bCs/>
                <w:sz w:val="19"/>
                <w:szCs w:val="19"/>
              </w:rPr>
              <w:t xml:space="preserve">Q6</w:t>
            </w:r>
          </w:p>
        </w:tc>
        <w:tc>
          <w:tcPr>
            <w:tcW w:type="dxa" w:w="555"/>
            <w:shd w:fill="EEF1F5" w:val="clear"/>
            <w:tcMar>
              <w:top w:type="dxa" w:w="50"/>
              <w:left w:type="dxa" w:w="90"/>
              <w:bottom w:type="dxa" w:w="50"/>
              <w:right w:type="dxa" w:w="90"/>
            </w:tcMar>
          </w:tcPr>
          <w:p>
            <w:r>
              <w:rPr>
                <w:b/>
                <w:bCs/>
                <w:sz w:val="19"/>
                <w:szCs w:val="19"/>
              </w:rPr>
              <w:t xml:space="preserve">Q7</w:t>
            </w:r>
          </w:p>
        </w:tc>
        <w:tc>
          <w:tcPr>
            <w:tcW w:type="dxa" w:w="555"/>
            <w:shd w:fill="EEF1F5" w:val="clear"/>
            <w:tcMar>
              <w:top w:type="dxa" w:w="50"/>
              <w:left w:type="dxa" w:w="90"/>
              <w:bottom w:type="dxa" w:w="50"/>
              <w:right w:type="dxa" w:w="90"/>
            </w:tcMar>
          </w:tcPr>
          <w:p>
            <w:r>
              <w:rPr>
                <w:b/>
                <w:bCs/>
                <w:sz w:val="19"/>
                <w:szCs w:val="19"/>
              </w:rPr>
              <w:t xml:space="preserve">Q8</w:t>
            </w:r>
          </w:p>
        </w:tc>
        <w:tc>
          <w:tcPr>
            <w:tcW w:type="dxa" w:w="555"/>
            <w:shd w:fill="EEF1F5" w:val="clear"/>
            <w:tcMar>
              <w:top w:type="dxa" w:w="50"/>
              <w:left w:type="dxa" w:w="90"/>
              <w:bottom w:type="dxa" w:w="50"/>
              <w:right w:type="dxa" w:w="90"/>
            </w:tcMar>
          </w:tcPr>
          <w:p>
            <w:r>
              <w:rPr>
                <w:b/>
                <w:bCs/>
                <w:sz w:val="19"/>
                <w:szCs w:val="19"/>
              </w:rPr>
              <w:t xml:space="preserve">Q9</w:t>
            </w:r>
          </w:p>
        </w:tc>
        <w:tc>
          <w:tcPr>
            <w:tcW w:type="dxa" w:w="555"/>
            <w:shd w:fill="EEF1F5" w:val="clear"/>
            <w:tcMar>
              <w:top w:type="dxa" w:w="50"/>
              <w:left w:type="dxa" w:w="90"/>
              <w:bottom w:type="dxa" w:w="50"/>
              <w:right w:type="dxa" w:w="90"/>
            </w:tcMar>
          </w:tcPr>
          <w:p>
            <w:r>
              <w:rPr>
                <w:b/>
                <w:bCs/>
                <w:sz w:val="19"/>
                <w:szCs w:val="19"/>
              </w:rPr>
              <w:t xml:space="preserve">Q10</w:t>
            </w:r>
          </w:p>
        </w:tc>
        <w:tc>
          <w:tcPr>
            <w:tcW w:type="dxa" w:w="555"/>
            <w:shd w:fill="EEF1F5" w:val="clear"/>
            <w:tcMar>
              <w:top w:type="dxa" w:w="50"/>
              <w:left w:type="dxa" w:w="90"/>
              <w:bottom w:type="dxa" w:w="50"/>
              <w:right w:type="dxa" w:w="90"/>
            </w:tcMar>
          </w:tcPr>
          <w:p>
            <w:r>
              <w:rPr>
                <w:b/>
                <w:bCs/>
                <w:sz w:val="19"/>
                <w:szCs w:val="19"/>
              </w:rPr>
              <w:t xml:space="preserve">Q11</w:t>
            </w:r>
          </w:p>
        </w:tc>
        <w:tc>
          <w:tcPr>
            <w:tcW w:type="dxa" w:w="555"/>
            <w:shd w:fill="EEF1F5" w:val="clear"/>
            <w:tcMar>
              <w:top w:type="dxa" w:w="50"/>
              <w:left w:type="dxa" w:w="90"/>
              <w:bottom w:type="dxa" w:w="50"/>
              <w:right w:type="dxa" w:w="90"/>
            </w:tcMar>
          </w:tcPr>
          <w:p>
            <w:r>
              <w:rPr>
                <w:b/>
                <w:bCs/>
                <w:sz w:val="19"/>
                <w:szCs w:val="19"/>
              </w:rPr>
              <w:t xml:space="preserve">Q12</w:t>
            </w:r>
          </w:p>
        </w:tc>
      </w:tr>
      <w:tr>
        <w:tc>
          <w:tcPr>
            <w:tcW w:type="dxa" w:w="2412"/>
            <w:tcMar>
              <w:top w:type="dxa" w:w="50"/>
              <w:left w:type="dxa" w:w="90"/>
              <w:bottom w:type="dxa" w:w="50"/>
              <w:right w:type="dxa" w:w="90"/>
            </w:tcMar>
          </w:tcPr>
          <w:p>
            <w:r>
              <w:rPr>
                <w:b w:val="false"/>
                <w:bCs w:val="false"/>
                <w:sz w:val="19"/>
                <w:szCs w:val="19"/>
              </w:rPr>
              <w:t xml:space="preserve">WP1 Synthesis + XAS descriptors</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WP2 Devices + switching statistics</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WP3 Correlation + operando + publication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WP4 Return phase: transfer + map integration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Europe on descriptor-based materials development for memristive oxides. The funded return phase reintegrates the methodology into the European research area (FZ Jülich/RWTH Aachen, JARA) and prepares the ERC Starting Grant/Emmy Noether bid; the MSCA fellowship itself strengthens the European profile of that bid. The choice of LSCO is deliberate: it is the one perovskite family whose covalency→EV link is already published in quantitative form, and its cobaltite axis pairs naturally with the ferrite series of the planned group programme.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T. Saitoh et al., Electronic structure of La1-xSrxCoO3 studied by photoemission and x-ray-absorption spectroscopy. Physical Review B 56, 1290 (1997). [verify page range before submission]</w:t>
      </w:r>
    </w:p>
    <w:p>
      <w:pPr>
        <w:spacing w:after="120"/>
      </w:pPr>
      <w:r>
        <w:rPr>
          <w:sz w:val="18"/>
          <w:szCs w:val="18"/>
        </w:rPr>
        <w:t xml:space="preserve">[10] J. Mizusaki, Y. Mima, S. Yamauchi, K. Fueki, H. Tagawa, Nonstoichiometry of the perovskite-type oxides La1-xSrxCoO3-δ. Journal of Solid State Chemistry 80, 102–111 (1989).</w:t>
      </w:r>
    </w:p>
    <w:p>
      <w:pPr>
        <w:spacing w:after="120"/>
      </w:pPr>
      <w:r>
        <w:rPr>
          <w:sz w:val="18"/>
          <w:szCs w:val="18"/>
        </w:rPr>
        <w:t xml:space="preserve">[11] J. T. Mefford et al., Water electrolysis on La1-xSrxCoO3-δ perovskite electrocatalysts. Nature Communications 7, 11053 (2016).</w:t>
      </w:r>
    </w:p>
    <w:p>
      <w:pPr>
        <w:spacing w:after="120"/>
      </w:pPr>
      <w:r>
        <w:rPr>
          <w:sz w:val="18"/>
          <w:szCs w:val="18"/>
        </w:rPr>
        <w:t xml:space="preserve">[12]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[13] F. Frati, M. O. J. Y. Hunault, F. M. F. de Groot, Oxygen K-edge X-ray Absorption Spectra. Chemical Reviews 120, 4056–4110 (2020).</w:t>
      </w:r>
    </w:p>
    <w:p>
      <w:pPr>
        <w:spacing w:after="120"/>
      </w:pPr>
      <w:r>
        <w:rPr>
          <w:sz w:val="18"/>
          <w:szCs w:val="18"/>
        </w:rPr>
        <w:t xml:space="preserve">[14] H. Jeen et al., Reversible redox reactions in an epitaxially stabilized SrCoOx oxygen sponge. Nature Materials 12, 1057–1063 (2013).</w:t>
      </w:r>
    </w:p>
    <w:p>
      <w:pPr>
        <w:spacing w:after="120"/>
      </w:pPr>
      <w:r>
        <w:rPr>
          <w:sz w:val="18"/>
          <w:szCs w:val="18"/>
        </w:rPr>
        <w:t xml:space="preserve">[15] S. K. Acharya et al., Epitaxial Brownmillerite Oxide Thin Films for Reliable Switching Memory. ACS Applied Materials &amp; Interfaces 8, 7902–7911 (2016).</w:t>
      </w:r>
    </w:p>
    <w:p>
      <w:pPr>
        <w:spacing w:after="120"/>
      </w:pPr>
      <w:r>
        <w:rPr>
          <w:sz w:val="18"/>
          <w:szCs w:val="18"/>
        </w:rPr>
        <w:t xml:space="preserve">[16] V. R. Nallagatla et al., Topotactic Phase Transition Driving Memristive Behavior (SrFeO2.5/SrCoO2.5 devices). Advanced Materials 31, 1903391 (2019).</w:t>
      </w:r>
    </w:p>
    <w:p>
      <w:pPr>
        <w:spacing w:after="120"/>
      </w:pPr>
      <w:r>
        <w:rPr>
          <w:sz w:val="18"/>
          <w:szCs w:val="18"/>
        </w:rPr>
        <w:t xml:space="preserve">[17] X. Mou et al., Analog memristive synapse based on topotactic phase transition for high-performance neuromorphic computing and neural network pruning. Science Advances 7, eabh0648 (2021).</w:t>
      </w:r>
    </w:p>
    <w:p>
      <w:pPr>
        <w:spacing w:after="120"/>
      </w:pPr>
      <w:r>
        <w:rPr>
          <w:sz w:val="18"/>
          <w:szCs w:val="18"/>
        </w:rPr>
        <w:t xml:space="preserve">[18] X. Xiang et al., Manipulating the Resistive Switching in Epitaxial SrCoO2.5 Thin-Film-Based Memristors by Strain Engineering. ACS Applied Electronic Materials 4, 2729–2738 (2022).</w:t>
      </w:r>
    </w:p>
    <w:p>
      <w:pPr>
        <w:spacing w:after="120"/>
      </w:pPr>
      <w:r>
        <w:rPr>
          <w:sz w:val="18"/>
          <w:szCs w:val="18"/>
        </w:rPr>
        <w:t xml:space="preserve">[19] H.-Y. Lo et al., Observing topotactic phase transformation and resistive switching behaviors in low power SrCoOx memristor. Nano Energy 72, 104683 (2020).</w:t>
      </w:r>
    </w:p>
    <w:p>
      <w:pPr>
        <w:spacing w:after="120"/>
      </w:pPr>
      <w:r>
        <w:rPr>
          <w:sz w:val="18"/>
          <w:szCs w:val="18"/>
        </w:rPr>
        <w:t xml:space="preserve">[20] M. Kubicek et al., Tensile Lattice Strain Accelerates Oxygen Surface Exchange and Diffusion in La1-xSrxCoO3-δ Thin Films. ACS Nano 7, 3276–3286 (2013).</w:t>
      </w:r>
    </w:p>
    <w:p>
      <w:pPr>
        <w:spacing w:after="120"/>
      </w:pPr>
      <w:r>
        <w:rPr>
          <w:sz w:val="18"/>
          <w:szCs w:val="18"/>
        </w:rPr>
        <w:t xml:space="preserve">[21] Ag/La0.5Sr0.5CoO3-δ/Pt resistive switching. Applied Physics Letters 104, 223505 (2014). [reactive-electrode prior art; complete author list and title before submission]</w:t>
      </w:r>
    </w:p>
    <w:p>
      <w:pPr>
        <w:spacing w:after="120"/>
      </w:pPr>
      <w:r>
        <w:rPr>
          <w:sz w:val="18"/>
          <w:szCs w:val="18"/>
        </w:rPr>
        <w:t xml:space="preserve">[22]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[23]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[24]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[25] M. Wuttig et al., Revisiting the Nature of Chemical Bonding in Chalcogenides to Explain and Design their Properties. Advanced Materials 35, 2208485 (2023).</w:t>
      </w:r>
    </w:p>
    <w:p>
      <w:pPr>
        <w:spacing w:after="120"/>
      </w:pPr>
      <w:r>
        <w:rPr>
          <w:sz w:val="18"/>
          <w:szCs w:val="18"/>
        </w:rPr>
        <w:t xml:space="preserve">[26] J. Zaanen, G. A. Sawatzky, J. W. Allen, Band gaps and electronic structure of transition-metal compounds. Physical Review Letters 55, 418–421 (1985).</w:t>
      </w:r>
    </w:p>
    <w:p>
      <w:pPr>
        <w:spacing w:after="120"/>
      </w:pPr>
      <w:r>
        <w:rPr>
          <w:sz w:val="18"/>
          <w:szCs w:val="18"/>
        </w:rPr>
        <w:t xml:space="preserve">[27] A. Fujimori, F. Minami, Valence-band photoemission and optical absorption in nickel compounds. Physical Review B 30, 957–971 (1984).</w:t>
      </w:r>
    </w:p>
    <w:p>
      <w:pPr>
        <w:spacing w:after="120"/>
      </w:pPr>
      <w:r>
        <w:rPr>
          <w:sz w:val="18"/>
          <w:szCs w:val="18"/>
        </w:rPr>
        <w:t xml:space="preserve">[28]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[29] T. Saitoh, A. E. Bocquet, T. Mizokawa, A. Fujimori, Systematic variation of the electronic structure of 3d transition-metal compounds. Physical Review B 52, 7934–7938 (1995).</w:t>
      </w:r>
    </w:p>
    <w:p>
      <w:pPr>
        <w:spacing w:after="120"/>
      </w:pPr>
      <w:r>
        <w:rPr>
          <w:sz w:val="18"/>
          <w:szCs w:val="18"/>
        </w:rPr>
        <w:t xml:space="preserve">[30] S. Nimkar, D. D. Sarma, H. R. Krishnamurthy, S. Ramasesha, Mean-field results of the multiple-band extended Hubbard model for the square-planar CuO2 lattice. Physical Review B 48, 7355–7363 (1993).</w:t>
      </w:r>
    </w:p>
    <w:p>
      <w:pPr>
        <w:spacing w:after="120"/>
      </w:pPr>
      <w:r>
        <w:rPr>
          <w:sz w:val="18"/>
          <w:szCs w:val="18"/>
        </w:rPr>
        <w:t xml:space="preserve">[31] F. M. F. de Groot, X-ray absorption and dichroism of transition metals and their compounds. Journal of Electron Spectroscopy and Related Phenomena 67, 529–622 (1994).</w:t>
      </w:r>
    </w:p>
    <w:p>
      <w:pPr>
        <w:spacing w:after="120"/>
      </w:pPr>
      <w:r>
        <w:rPr>
          <w:sz w:val="18"/>
          <w:szCs w:val="18"/>
        </w:rPr>
        <w:t xml:space="preserve">[32] A. Chainani, M. Mathew, D. D. Sarma, Electron-spectroscopy study of the semiconductor-metal transition in La1-xSrxCoO3. Physical Review B 46, 9976–9983 (1992).</w:t>
      </w:r>
    </w:p>
    <w:p>
      <w:pPr>
        <w:spacing w:after="120"/>
      </w:pPr>
      <w:r>
        <w:rPr>
          <w:sz w:val="18"/>
          <w:szCs w:val="18"/>
        </w:rPr>
        <w:t xml:space="preserve">[33] T. Saitoh, T. Mizokawa, A. Fujimori, M. Abbate, Y. Takeda, M. Takano, Electronic structure and temperature-induced paramagnetism in LaCoO3. Physical Review B 55, 4257–4266 (1997).</w:t>
      </w:r>
    </w:p>
    <w:p>
      <w:pPr>
        <w:spacing w:after="120"/>
      </w:pPr>
      <w:r>
        <w:rPr>
          <w:sz w:val="18"/>
          <w:szCs w:val="18"/>
        </w:rPr>
        <w:t xml:space="preserve">[34] R. H. Potze, G. A. Sawatzky, M. Abbate, Possibility for an intermediate-spin ground state in the charge-transfer material SrCoO3. Physical Review B 51, 11501–11506 (1995).</w:t>
      </w:r>
    </w:p>
    <w:p>
      <w:pPr>
        <w:spacing w:after="120"/>
      </w:pPr>
      <w:r>
        <w:rPr>
          <w:sz w:val="18"/>
          <w:szCs w:val="18"/>
        </w:rPr>
        <w:t xml:space="preserve">[35]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120"/>
      </w:pPr>
      <w:r>
        <w:rPr>
          <w:sz w:val="18"/>
          <w:szCs w:val="18"/>
        </w:rPr>
        <w:t xml:space="preserve">[36] M. Lorenz, H. Hochmuth, H. von Wenckstern, M. Grundmann, Flexible hardware concept of pulsed laser deposition for large areas and combinatorial composition spreads. Review of Scientific Instruments 94, 083905 (2023).</w:t>
      </w:r>
    </w:p>
    <w:p>
      <w:pPr>
        <w:spacing w:after="120"/>
      </w:pPr>
      <w:r>
        <w:rPr>
          <w:sz w:val="18"/>
          <w:szCs w:val="18"/>
        </w:rPr>
        <w:t xml:space="preserve">[37] A. Venimadhav, K. A. Yates, M. G. Blamire, Scanning Raman Spectroscopy for Characterizing Compositionally Spread Films. Journal of Combinatorial Chemistry 7, 85–89 (2005).</w:t>
      </w:r>
    </w:p>
    <w:p>
      <w:pPr>
        <w:spacing w:after="120"/>
      </w:pPr>
      <w:r>
        <w:rPr>
          <w:sz w:val="18"/>
          <w:szCs w:val="18"/>
        </w:rPr>
        <w:t xml:space="preserve">[38]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120"/>
      </w:pPr>
      <w:r>
        <w:rPr>
          <w:sz w:val="18"/>
          <w:szCs w:val="18"/>
        </w:rPr>
        <w:t xml:space="preserve">[39] D. C. Grinter, P. Ferrer, F. Venturini, M. A. van Spronsen, A. I. Large et al., VerSoX B07-B: a high-throughput XPS and ambient pressure NEXAFS beamline at Diamond Light Source. Journal of Synchrotron Radiation 31, 578–589 (2024).</w:t>
      </w:r>
    </w:p>
    <w:p>
      <w:pPr>
        <w:spacing w:after="120"/>
      </w:pPr>
      <w:r>
        <w:rPr>
          <w:sz w:val="18"/>
          <w:szCs w:val="18"/>
        </w:rPr>
        <w:t xml:space="preserve">[40] M. Tang, L. Dai, M. Cheng, Y. Zhang, Y. Wang et al., High-Throughput Screening Thickness-Dependent Resistive Switching in SrTiO3 Thin Films for Robust Electronic Synapse. Advanced Functional Materials 33, 2213874 (2023).</w:t>
      </w:r>
    </w:p>
    <w:p>
      <w:pPr>
        <w:spacing w:after="120"/>
      </w:pPr>
      <w:r>
        <w:rPr>
          <w:sz w:val="18"/>
          <w:szCs w:val="18"/>
        </w:rPr>
        <w:t xml:space="preserve">[41] S. Wicklein, A. Sambri, S. Amoruso, X. Wang, R. Bruzzese, A. Koehl, R. Dittmann, Pulsed laser ablation of complex oxides: The role of congruent ablation and preferential scattering for the film stoichiometry. Applied Physics Letters 101, 131601 (2012).</w:t>
      </w:r>
    </w:p>
    <w:p>
      <w:pPr>
        <w:spacing w:after="120"/>
      </w:pPr>
      <w:r>
        <w:rPr>
          <w:sz w:val="18"/>
          <w:szCs w:val="18"/>
        </w:rPr>
        <w:t xml:space="preserve">[42] W. C. Chueh, S. M. Haile, Electrochemical studies of capacitance in cerium oxide thin films and its relationship to anionic and electronic defect densities. Physical Chemistry Chemical Physics 11, 8144–8148 (2009).</w:t>
      </w:r>
    </w:p>
    <w:p>
      <w:pPr>
        <w:spacing w:after="120"/>
      </w:pPr>
      <w:r>
        <w:rPr>
          <w:sz w:val="18"/>
          <w:szCs w:val="18"/>
        </w:rPr>
        <w:t xml:space="preserve">[43] A. Schmid, G. M. Rupp, J. Fleig, Voltage and partial pressure dependent defect chemistry in (La,Sr)FeO3-δ thin films investigated by chemical capacitance measurements. Physical Chemistry Chemical Physics 20, 12016–12026 (2018).</w:t>
      </w:r>
    </w:p>
    <w:p>
      <w:pPr>
        <w:spacing w:after="120"/>
      </w:pPr>
      <w:r>
        <w:rPr>
          <w:sz w:val="18"/>
          <w:szCs w:val="18"/>
        </w:rPr>
        <w:t xml:space="preserve">[44] J. J. Kim, S. R. Bishop, N. J. Thompson, H. L. Tuller, Investigation of Nonstoichiometry in Oxide Thin Films by Simultaneous in Situ Optical Absorption and Chemical Capacitance Measurements: Pr-Doped Ceria, a Case Study. Chemistry of Materials 26, 1374–1379 (2014).</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European host institution acts as applicant – letter of commitment, supervision agreement (both hosts) and training plan required per MSCA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2026-08-10T22:40:37.464Z</dcterms:created>
  <dcterms:modified xsi:type="dcterms:W3CDTF">2026-08-10T22:40:37.464Z</dcterms:modified>
</cp:coreProperties>
</file>

<file path=docProps/custom.xml><?xml version="1.0" encoding="utf-8"?>
<Properties xmlns="http://schemas.openxmlformats.org/officeDocument/2006/custom-properties" xmlns:vt="http://schemas.openxmlformats.org/officeDocument/2006/docPropsVTypes"/>
</file>