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DAAD PRIME – Postdoctoral Researchers International Mobility Experience</w:t>
      </w:r>
    </w:p>
    <w:p>
      <w:pPr>
        <w:pStyle w:val="Title"/>
      </w:pPr>
      <w:r>
        <w:t xml:space="preserve">Covalency as an Experimental Descriptor of Memristive Switching: the YBa2Cu3O7-δ Chain-Oxygen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18 months (12 abroad + 6 reintegration)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18-month employment contract (TV-L E13) at a German university: 12 months abroad (Stanford University / SLAC) + 6-month reintegration phase in Germany [RWTH Aachen or FZ Jülich – commitment of the German host required]</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DAAD [verify current call, co-funding and conditions before submission]</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Doctorate completed before funding start; no nationality restriction</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call, submitted directly to the DAAD [insert current deadline]</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Position instead of stipend – full social security; the reintegration phase is part of the programme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switch their resistance through field-driven redistribution of oxygen defects [1–3], with the oxygen-defect formation energy entering all quantitative models exponentially [3, 4]. Energy research has established the metal–oxygen covalency as the controlling descriptor of this energy [5–8] – but the experimental test of this link in memristive devices is missing. My project performs this test on YBa2Cu3O7-δ (YBCO): the one oxide outside the perovskite manganite/ferrite families in which all three evidence pillars of a clean descriptor study already coexist.</w:t>
      </w:r>
    </w:p>
    <w:p>
      <w:pPr>
        <w:spacing w:after="120"/>
      </w:pPr>
      <w:r>
        <w:t xml:space="preserve">(i) Covalency vs. stoichiometry is measured with unmatched precision: the site-specific, polarisation-resolved O-1s/Cu-2p XAS of YBCO resolves the doped-hole count separately for the CuO2 planes, the CuO chains and the apical oxygen as a function of oxygen content δ and cation doping [9, 10] – a level of spectroscopic resolution no perovskite series offers. The chain-oxygen content δ is continuously and reversibly tunable between 6.0 and 7.0 by annealing, making it an exceptionally fine stoichiometry axis. (ii) EV vs. site and stoichiometry is computed: DFT point-defect studies give site-resolved vacancy formation energies (chain ≈ 1.2 eV vs. plane ≈ 2.1 eV in YBa2Cu3O6.5) that depend on the oxygen content itself [14, 15]. (iii) Switching at noble interfaces is established and replicated: Au/YBCO/Au cells switch bipolar and non-volatile via interfacial oxygen-vacancy migration [11], with recent replications and mechanistic extensions from 80 to 300 K [12, 13]. The gap: all published devices are ceramic; no epitaxial, δ-controlled, statistically robust device series with simultaneous XAS covalency quantification exists. My central hypothesis: the switching figures of merit of Au/YBCO devices scale with the chain-hole covalency measured by site-resolved XAS – making YBCO the sharpest single-material test of the descriptor chain and, at the same time, the first extension of the planned “treasure map” beyond the perovskite structure family.</w:t>
      </w:r>
    </w:p>
    <w:p>
      <w:pPr>
        <w:spacing w:after="120"/>
      </w:pPr>
      <w:r>
        <w:t xml:space="preserve">Design constraints are addressed openly: below Tc ≈ 93 K superconductivity takes over (all device metrology therefore runs at ≥ 100 K and room temperature), and the ortho-ordering kinetics of the chain oxygen add a slow structural relaxation that is monitored by XRD. Both are charted boundaries, not confounders of the room-temperature descriptor study.</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[22] and as extracted compound by compound by the configuration-interaction analyses of Fujimori, Bocquet, Saitoh, Sarma and co-workers [23–26]. O-K pre-edge intensities serve as a relative, series-internal hybridisation measure only; their limits as an absolute covalency scale (core-hole effects, ligand-hole distribution, band effects) are treated explicitly [27], and the conflation of hybridisation with covalency that is common in the catalysis-descriptor literature is deliberately avoided – the descriptor scale of this project is calibrated against cluster-model analysis, not against pre-edge intensity alone. System-specific parameter status (re-screening, 09.08.2026): the CuO2-plane parameter set (Δ, Udd, tpd) is cross-validated by several independent CI analyses [28, 29]; a δ-resolved, chain/plane-separated extraction for YBCO is thin and methodologically contested – non-local screening distorts single-impurity fits [30] – which is precisely the refinement this project’s site-resolved XAS series enables.</w:t>
      </w:r>
    </w:p>
    <w:p>
      <w:pPr>
        <w:spacing w:after="120"/>
      </w:pPr>
      <w:r>
        <w:t xml:space="preserve">Methodological platform (added 08/2026) – one wafer, one map: beyond discrete samples, the composition series is realised as a single wafer carrying a continuous lateral cation-stoichiometry gradient, grown in continuous-compositional-spread mode [31] on a large-area PLD system of the type I have already used for wafer-scale memristive heterostructures [E3]; combinatorial hardware of this class covers substrates up to four inches [32], and epitaxial perovskite composition spreads are established [33]. Spatially resolved soft XAS turns such a wafer into a continuous covalency map – on-the-fly L-edge mapping of a combinatorial spread with a 0.5 mm beam has recently been demonstrated [34], and beamlines built for automated high-throughput NEXAFS exist for exactly this duty cycle [35] – while automated prober mapping of device arrays along the same gradient track yields the corresponding switching map [36]. With a 0.2–0.5 mm beam footprint on a 50 mm gradient, one wafer carries 100–250 independent composition points; the limiting quantity is the composition calibration map (XRF/WDS), not the beam. The known pitfalls are addressed by design: slit-synchronised scanning decouples composition from thickness [31], cation transfer is fluence- and pO2-sensitive and therefore calibrated per position [37], and structural quality across the wafer is mapped rather than assumed.</w:t>
      </w:r>
    </w:p>
    <w:p>
      <w:pPr>
        <w:spacing w:after="120"/>
      </w:pPr>
      <w:r>
        <w:t xml:space="preserve">The same wafer turns the weakest link of the descriptor chain into a measurement. Equilibrated at a defined oxygen partial pressure and temperature, every position adopts its own non-stoichiometry δ; mapping the transition-metal valence in the same XAS scan yields δ(x; pO2, T), and repeating this across oxidising and reducing conditions gives the reduction enthalpy ΔHred(x) – an experimentally determined vacancy-formation energy measured on the same spots, the same sample and the same growth run as the covalency descriptor. To be precise about what spectroscopy delivers: XAS gives valence, not an absolute oxygen content, so the map is calibrated against anchor points from chemical capacitance [38], chemical expansion (high-temperature XRD) or a reference of known stoichiometry; optical absorption provides a second, fully imageable δ read-out [40]. Thin-film defect chemistry of exactly this type is established for ceria films [38] and for (La,Sr)FeO3-δ films [39], and the composition-dependent reduction enthalpy of the SrTi1-xFexO3-δ solid solution is the natural validation target: if the gradient wafer reproduces that published curve, the method is proven, and only then does the co-located descriptor measurement carry weight. The covalency→EV link, which for most systems currently rests on calculation rather than experiment, thereby becomes a directly measured correlation whose predictive quality can be quantified per composition instead of asserted.</w:t>
      </w:r>
    </w:p>
    <w:p>
      <w:pPr>
        <w:spacing w:after="120"/>
      </w:pPr>
      <w:r>
        <w:t xml:space="preserve">Three constraints are taken seriously from the outset. (i) Detection under gas: total-electron yield collapses above a few mbar; Auger yield through a differentially pumped analyser carries to roughly 25 mbar and windowed fluorescence yield to ambient pressure, the latter at the price of self-absorption corrections at the transition-metal L edges. Ambient-pressure NEXAFS endstations built for this envelope exist and are combined with high-throughput operation [35]. (ii) Surface versus bulk: electron and Auger yield probe only the outer nanometres, precisely where enrichment and reconstruction may occur under high temperature and oxygen pressure, so bulk-sensitive fluorescence yield is recorded alongside and film thicknesses kept small. (iii) Radiation dose: soft-X-ray photoreduction of Ce, Mn, Fe and Co drives the valence in the same direction as the gas-induced reduction under study, so dose series, defocused fast scans and fresh-spot rastering are part of the protocol rather than an afterthought. Where electrochemical δ control is required, it needs an ion-conducting substrate stack and is therefore a deliberate choice for dedicated calibration wafers, not the default of the epitaxial gradient series. An ex-situ equilibrate-quench-measure route remains available as a fallback where δ is frozen in, which is defensible for titanates and manganites and marginal for cobaltites, ceria and YBCO.</w:t>
      </w:r>
    </w:p>
    <w:p>
      <w:pPr>
        <w:pStyle w:val="Heading1"/>
        <w:spacing w:after="120" w:before="240"/>
      </w:pPr>
      <w:r>
        <w:t xml:space="preserve">2  Programme fit and strategy</w:t>
      </w:r>
    </w:p>
    <w:p>
      <w:pPr>
        <w:spacing w:after="120"/>
      </w:pPr>
      <w:r>
        <w:t xml:space="preserve">PRIME funds the project as an 18-month employment position: a focused 12-month Stanford campaign delivers the descriptor scale and the switching statistics, and the built-in 6-month reintegration phase in Jülich/Aachen is used for correlation analysis, transfer of the XAS protocols to European beamlines and submission of the junior-group proposal (Emmy Noether/ERC) – the return into the German system is part of the programme itself. Fallback within the DAAD portfolio: the classic postdoctoral research grants (stipend-based, up to 12 months) [verify current programme lines].</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[18–20]. The group’s seminal work on the redox activity of oxygen anions in oxygen-deficient perovskites [19] is a direct methodological blueprint for my project; the Nature Materials study on atomically defined LaNiO3 surfaces [20]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(months 1–8, Stanford)</w:t>
      </w:r>
    </w:p>
    <w:p>
      <w:pPr>
        <w:spacing w:after="120"/>
      </w:pPr>
      <w:r>
        <w:t xml:space="preserve">PLD growth of epitaxial YBCO films on SrTiO3 and NdGaO3 in the Stanford/SLAC thin-film laboratories; δ-series (six oxygen contents between O6.4 and O7.0) set by controlled p(O2) annealing, verified by c-axis XRD and transport; structural validation (XRD/RSM, AFM). In parallel, first XAS campaign at SSRL: site-resolved O-K pre-edge quantification (plane/chain/apex following [9, 10]) and Cu-L2,3 valence analysis for every δ → experimental covalency scale of the series. Milestone M1 (month 8): validated δ-series with complete site-resolved descriptor set. In parallel with the discrete samples, a gradient wafer of the same system is grown in continuous-compositional-spread mode [31, 32] and calibrated position by position (XRF/WDS composition map, XRR thickness, XRD structural quality); the discrete series remains the backbone of the analysis, the gradient wafer is the throughput accelerator and the carrier of the defect-chemical titration in WP3.</w:t>
      </w:r>
    </w:p>
    <w:p>
      <w:pPr>
        <w:spacing w:after="120"/>
      </w:pPr>
      <w:r>
        <w:rPr>
          <w:b/>
          <w:bCs/>
        </w:rPr>
        <w:t xml:space="preserve">WP2 – Devices and switching characterisation (months 6–12, Stanford)</w:t>
      </w:r>
    </w:p>
    <w:p>
      <w:pPr>
        <w:spacing w:after="120"/>
      </w:pPr>
      <w:r>
        <w:t xml:space="preserve">Au-active pads (replicating the proven noble-contact geometry [11–13]) and Pt pads as second inert flavour, processed photolithographically with ≥ 30 nominally identical cells per δ; quasistatic and pulsed characterisation at 100–300 K under the statistics protocol established in my doctorate (ON/OFF, forming requirement, kinetics, retention, endurance). Milestone M2 (month 12): switching figures of merit as a function of δ, in epitaxial cells, with robust statistics – the first non-ceramic Au/YBCO device series. The second SSRL campaign (XAS on switched cells) is scheduled in months 10–12, before the return to Germany.</w:t>
      </w:r>
    </w:p>
    <w:p>
      <w:pPr>
        <w:spacing w:after="120"/>
      </w:pPr>
      <w:r>
        <w:rPr>
          <w:b/>
          <w:bCs/>
        </w:rPr>
        <w:t xml:space="preserve">WP3 – Correlation, transfer and group proposal (months 13–18, Germany)</w:t>
      </w:r>
    </w:p>
    <w:p>
      <w:pPr>
        <w:spacing w:after="120"/>
      </w:pPr>
      <w:r>
        <w:t xml:space="preserve">Reintegration phase at the German host [RWTH Aachen / FZ Jülich]: correlation analysis covalency (XAS) ↔ EV ↔ switching metrics on the complete dataset, including the reduction enthalpy per composition obtained from the gradient-wafer gas titration; transfer of the XAS protocols to European beamlines (BESSY II/PETRA III) including a first beamtime proposal; publication of the covalency-resolved device study and FAIR dataset release; submission of the junior-group proposal. Milestone M3 (month 18): submitted publication(s), public dataset, submitted group proposal.</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72"/>
        <w:gridCol w:w="950"/>
        <w:gridCol w:w="950"/>
        <w:gridCol w:w="950"/>
        <w:gridCol w:w="950"/>
        <w:gridCol w:w="950"/>
        <w:gridCol w:w="950"/>
      </w:tblGrid>
      <w:tr>
        <w:tc>
          <w:tcPr>
            <w:tcW w:type="dxa" w:w="3372"/>
            <w:shd w:fill="EEF1F5" w:val="clear"/>
            <w:tcMar>
              <w:top w:type="dxa" w:w="50"/>
              <w:left w:type="dxa" w:w="90"/>
              <w:bottom w:type="dxa" w:w="50"/>
              <w:right w:type="dxa" w:w="90"/>
            </w:tcMar>
          </w:tcPr>
          <w:p>
            <w:r>
              <w:rPr>
                <w:b/>
                <w:bCs/>
                <w:sz w:val="19"/>
                <w:szCs w:val="19"/>
              </w:rPr>
              <w:t xml:space="preserve">Work package</w:t>
            </w:r>
          </w:p>
        </w:tc>
        <w:tc>
          <w:tcPr>
            <w:tcW w:type="dxa" w:w="950"/>
            <w:shd w:fill="EEF1F5" w:val="clear"/>
            <w:tcMar>
              <w:top w:type="dxa" w:w="50"/>
              <w:left w:type="dxa" w:w="90"/>
              <w:bottom w:type="dxa" w:w="50"/>
              <w:right w:type="dxa" w:w="90"/>
            </w:tcMar>
          </w:tcPr>
          <w:p>
            <w:r>
              <w:rPr>
                <w:b/>
                <w:bCs/>
                <w:sz w:val="19"/>
                <w:szCs w:val="19"/>
              </w:rPr>
              <w:t xml:space="preserve">Q1</w:t>
            </w:r>
          </w:p>
        </w:tc>
        <w:tc>
          <w:tcPr>
            <w:tcW w:type="dxa" w:w="950"/>
            <w:shd w:fill="EEF1F5" w:val="clear"/>
            <w:tcMar>
              <w:top w:type="dxa" w:w="50"/>
              <w:left w:type="dxa" w:w="90"/>
              <w:bottom w:type="dxa" w:w="50"/>
              <w:right w:type="dxa" w:w="90"/>
            </w:tcMar>
          </w:tcPr>
          <w:p>
            <w:r>
              <w:rPr>
                <w:b/>
                <w:bCs/>
                <w:sz w:val="19"/>
                <w:szCs w:val="19"/>
              </w:rPr>
              <w:t xml:space="preserve">Q2</w:t>
            </w:r>
          </w:p>
        </w:tc>
        <w:tc>
          <w:tcPr>
            <w:tcW w:type="dxa" w:w="950"/>
            <w:shd w:fill="EEF1F5" w:val="clear"/>
            <w:tcMar>
              <w:top w:type="dxa" w:w="50"/>
              <w:left w:type="dxa" w:w="90"/>
              <w:bottom w:type="dxa" w:w="50"/>
              <w:right w:type="dxa" w:w="90"/>
            </w:tcMar>
          </w:tcPr>
          <w:p>
            <w:r>
              <w:rPr>
                <w:b/>
                <w:bCs/>
                <w:sz w:val="19"/>
                <w:szCs w:val="19"/>
              </w:rPr>
              <w:t xml:space="preserve">Q3</w:t>
            </w:r>
          </w:p>
        </w:tc>
        <w:tc>
          <w:tcPr>
            <w:tcW w:type="dxa" w:w="950"/>
            <w:shd w:fill="EEF1F5" w:val="clear"/>
            <w:tcMar>
              <w:top w:type="dxa" w:w="50"/>
              <w:left w:type="dxa" w:w="90"/>
              <w:bottom w:type="dxa" w:w="50"/>
              <w:right w:type="dxa" w:w="90"/>
            </w:tcMar>
          </w:tcPr>
          <w:p>
            <w:r>
              <w:rPr>
                <w:b/>
                <w:bCs/>
                <w:sz w:val="19"/>
                <w:szCs w:val="19"/>
              </w:rPr>
              <w:t xml:space="preserve">Q4</w:t>
            </w:r>
          </w:p>
        </w:tc>
        <w:tc>
          <w:tcPr>
            <w:tcW w:type="dxa" w:w="950"/>
            <w:shd w:fill="EEF1F5" w:val="clear"/>
            <w:tcMar>
              <w:top w:type="dxa" w:w="50"/>
              <w:left w:type="dxa" w:w="90"/>
              <w:bottom w:type="dxa" w:w="50"/>
              <w:right w:type="dxa" w:w="90"/>
            </w:tcMar>
          </w:tcPr>
          <w:p>
            <w:r>
              <w:rPr>
                <w:b/>
                <w:bCs/>
                <w:sz w:val="19"/>
                <w:szCs w:val="19"/>
              </w:rPr>
              <w:t xml:space="preserve">Q5</w:t>
            </w:r>
          </w:p>
        </w:tc>
        <w:tc>
          <w:tcPr>
            <w:tcW w:type="dxa" w:w="950"/>
            <w:shd w:fill="EEF1F5" w:val="clear"/>
            <w:tcMar>
              <w:top w:type="dxa" w:w="50"/>
              <w:left w:type="dxa" w:w="90"/>
              <w:bottom w:type="dxa" w:w="50"/>
              <w:right w:type="dxa" w:w="90"/>
            </w:tcMar>
          </w:tcPr>
          <w:p>
            <w:r>
              <w:rPr>
                <w:b/>
                <w:bCs/>
                <w:sz w:val="19"/>
                <w:szCs w:val="19"/>
              </w:rPr>
              <w:t xml:space="preserve">Q6</w:t>
            </w:r>
          </w:p>
        </w:tc>
      </w:tr>
      <w:tr>
        <w:tc>
          <w:tcPr>
            <w:tcW w:type="dxa" w:w="3372"/>
            <w:tcMar>
              <w:top w:type="dxa" w:w="50"/>
              <w:left w:type="dxa" w:w="90"/>
              <w:bottom w:type="dxa" w:w="50"/>
              <w:right w:type="dxa" w:w="90"/>
            </w:tcMar>
          </w:tcPr>
          <w:p>
            <w:r>
              <w:rPr>
                <w:b w:val="false"/>
                <w:bCs w:val="false"/>
                <w:sz w:val="19"/>
                <w:szCs w:val="19"/>
              </w:rPr>
              <w:t xml:space="preserve">WP1 Synthesis + XAS descriptors</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WP2 Devices + switching statistics</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WP3 Correlation + transfer + group proposal (DE)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(Emmy Noether proposal in preparation; ERC Starting Grant as an alternative). PRIME makes the return part of the funding itself: the reintegration phase at the German host is used to anchor the methodology in the Jülich/Aachen environment (JARA) and to submit the group proposal. The choice of YBCO is deliberately map-strategic: it adds the cuprate charge-transfer bonding class and a second structure family to the descriptor map – the decisive generalisation test for its predictive claim.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N. Nücker et al., Site-specific and doping-dependent electronic structure of YBa2Cu3Ox probed by O 1s and Cu 2p x-ray-absorption spectroscopy. Physical Review B 51, 8529 (1995). [verify page range before submission]</w:t>
      </w:r>
    </w:p>
    <w:p>
      <w:pPr>
        <w:spacing w:after="120"/>
      </w:pPr>
      <w:r>
        <w:rPr>
          <w:sz w:val="18"/>
          <w:szCs w:val="18"/>
        </w:rPr>
        <w:t xml:space="preserve">[10] M. Merz et al., Site-specific X-Ray Absorption Spectroscopy of Y1-xCaxBa2Cu3O7-y: Overdoping and Role of Apical Oxygen for High-Temperature Superconductivity. Physical Review Letters 80, 5192 (1998). [verify exact title before submission]</w:t>
      </w:r>
    </w:p>
    <w:p>
      <w:pPr>
        <w:spacing w:after="120"/>
      </w:pPr>
      <w:r>
        <w:rPr>
          <w:sz w:val="18"/>
          <w:szCs w:val="18"/>
        </w:rPr>
        <w:t xml:space="preserve">[11] C. Acha, M. J. Rozenberg, Non-volatile resistive switching in the dielectric superconductor YBa2Cu3O7-δ. Journal of Physics: Condensed Matter 21, 045702 (2009).</w:t>
      </w:r>
    </w:p>
    <w:p>
      <w:pPr>
        <w:spacing w:after="120"/>
      </w:pPr>
      <w:r>
        <w:rPr>
          <w:sz w:val="18"/>
          <w:szCs w:val="18"/>
        </w:rPr>
        <w:t xml:space="preserve">[12] Switching dynamics of oxygen-vacancy memristors based on cuprate superconductors. Applied Physics Letters 127, 241602 (2025). [complete author list before submission]</w:t>
      </w:r>
    </w:p>
    <w:p>
      <w:pPr>
        <w:spacing w:after="120"/>
      </w:pPr>
      <w:r>
        <w:rPr>
          <w:sz w:val="18"/>
          <w:szCs w:val="18"/>
        </w:rPr>
        <w:t xml:space="preserve">[13] Bipolar resistive switching in Au/YBa2Cu3O7-δ devices between 80 and 300 K. ACS Applied Electronic Materials (2025), DOI 10.1021/acsaelm.5c02017. [complete citation before submission]</w:t>
      </w:r>
    </w:p>
    <w:p>
      <w:pPr>
        <w:spacing w:after="120"/>
      </w:pPr>
      <w:r>
        <w:rPr>
          <w:sz w:val="18"/>
          <w:szCs w:val="18"/>
        </w:rPr>
        <w:t xml:space="preserve">[14] First-principles study of point defects in YBa2Cu3O7. Journal of Physics Communications 4 (2020), DOI 10.1088/2399-6528/abc9a7. [complete citation before submission]</w:t>
      </w:r>
    </w:p>
    <w:p>
      <w:pPr>
        <w:spacing w:after="120"/>
      </w:pPr>
      <w:r>
        <w:rPr>
          <w:sz w:val="18"/>
          <w:szCs w:val="18"/>
        </w:rPr>
        <w:t xml:space="preserve">[15] Site-dependent oxygen-vacancy formation energies in YBa2Cu3O6.5. Journal of Applied Physics 140, 055104. [verify citation before submission]</w:t>
      </w:r>
    </w:p>
    <w:p>
      <w:pPr>
        <w:spacing w:after="120"/>
      </w:pPr>
      <w:r>
        <w:rPr>
          <w:sz w:val="18"/>
          <w:szCs w:val="18"/>
        </w:rPr>
        <w:t xml:space="preserve">[16]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[17] F. Frati, M. O. J. Y. Hunault, F. M. F. de Groot, Oxygen K-edge X-ray Absorption Spectra. Chemical Reviews 120, 4056–4110 (2020).</w:t>
      </w:r>
    </w:p>
    <w:p>
      <w:pPr>
        <w:spacing w:after="120"/>
      </w:pPr>
      <w:r>
        <w:rPr>
          <w:sz w:val="18"/>
          <w:szCs w:val="18"/>
        </w:rPr>
        <w:t xml:space="preserve">[18]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[19]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[20]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[21] M. Wuttig et al., Revisiting the Nature of Chemical Bonding in Chalcogenides to Explain and Design their Properties. Advanced Materials 35, 2208485 (2023).</w:t>
      </w:r>
    </w:p>
    <w:p>
      <w:pPr>
        <w:spacing w:after="120"/>
      </w:pPr>
      <w:r>
        <w:rPr>
          <w:sz w:val="18"/>
          <w:szCs w:val="18"/>
        </w:rPr>
        <w:t xml:space="preserve">[22] J. Zaanen, G. A. Sawatzky, J. W. Allen, Band gaps and electronic structure of transition-metal compounds. Physical Review Letters 55, 418–421 (1985).</w:t>
      </w:r>
    </w:p>
    <w:p>
      <w:pPr>
        <w:spacing w:after="120"/>
      </w:pPr>
      <w:r>
        <w:rPr>
          <w:sz w:val="18"/>
          <w:szCs w:val="18"/>
        </w:rPr>
        <w:t xml:space="preserve">[23] A. Fujimori, F. Minami, Valence-band photoemission and optical absorption in nickel compounds. Physical Review B 30, 957–971 (1984).</w:t>
      </w:r>
    </w:p>
    <w:p>
      <w:pPr>
        <w:spacing w:after="120"/>
      </w:pPr>
      <w:r>
        <w:rPr>
          <w:sz w:val="18"/>
          <w:szCs w:val="18"/>
        </w:rPr>
        <w:t xml:space="preserve">[24]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[25] T. Saitoh, A. E. Bocquet, T. Mizokawa, A. Fujimori, Systematic variation of the electronic structure of 3d transition-metal compounds. Physical Review B 52, 7934–7938 (1995).</w:t>
      </w:r>
    </w:p>
    <w:p>
      <w:pPr>
        <w:spacing w:after="120"/>
      </w:pPr>
      <w:r>
        <w:rPr>
          <w:sz w:val="18"/>
          <w:szCs w:val="18"/>
        </w:rPr>
        <w:t xml:space="preserve">[26] S. Nimkar, D. D. Sarma, H. R. Krishnamurthy, S. Ramasesha, Mean-field results of the multiple-band extended Hubbard model for the square-planar CuO2 lattice. Physical Review B 48, 7355–7363 (1993).</w:t>
      </w:r>
    </w:p>
    <w:p>
      <w:pPr>
        <w:spacing w:after="120"/>
      </w:pPr>
      <w:r>
        <w:rPr>
          <w:sz w:val="18"/>
          <w:szCs w:val="18"/>
        </w:rPr>
        <w:t xml:space="preserve">[27] F. M. F. de Groot, X-ray absorption and dichroism of transition metals and their compounds. Journal of Electron Spectroscopy and Related Phenomena 67, 529–622 (1994).</w:t>
      </w:r>
    </w:p>
    <w:p>
      <w:pPr>
        <w:spacing w:after="120"/>
      </w:pPr>
      <w:r>
        <w:rPr>
          <w:sz w:val="18"/>
          <w:szCs w:val="18"/>
        </w:rPr>
        <w:t xml:space="preserve">[28] H. Eskes, G. A. Sawatzky, Tendency towards local spin compensation of holes in the high-Tc copper compounds. Physical Review Letters 61, 1415–1418 (1988).</w:t>
      </w:r>
    </w:p>
    <w:p>
      <w:pPr>
        <w:spacing w:after="120"/>
      </w:pPr>
      <w:r>
        <w:rPr>
          <w:sz w:val="18"/>
          <w:szCs w:val="18"/>
        </w:rPr>
        <w:t xml:space="preserve">[29] Z.-X. Shen, J. W. Allen et al., Anderson Hamiltonian description of the experimental electronic structure and magnetic interactions of copper oxide superconductors. Physical Review B 36, 8414 (1987).</w:t>
      </w:r>
    </w:p>
    <w:p>
      <w:pPr>
        <w:spacing w:after="120"/>
      </w:pPr>
      <w:r>
        <w:rPr>
          <w:sz w:val="18"/>
          <w:szCs w:val="18"/>
        </w:rPr>
        <w:t xml:space="preserve">[30] M. A. van Veenendaal, G. A. Sawatzky et al., Physical Review B 49, 3473 (1994). [nonlocal screening in Cu 2p spectra; complete citation before submission]</w:t>
      </w:r>
    </w:p>
    <w:p>
      <w:pPr>
        <w:spacing w:after="120"/>
      </w:pPr>
      <w:r>
        <w:rPr>
          <w:sz w:val="18"/>
          <w:szCs w:val="18"/>
        </w:rPr>
        <w:t xml:space="preserve">[31] H. M. Christen, C. M. Rouleau, I. Ohkubo, H. Y. Zhai, H. N. Lee, S. Sathyamurthy, D. H. Lowndes, An improved continuous compositional-spread technique based on pulsed-laser deposition and applicable to large substrate areas. Review of Scientific Instruments 74, 4058–4062 (2003).</w:t>
      </w:r>
    </w:p>
    <w:p>
      <w:pPr>
        <w:spacing w:after="120"/>
      </w:pPr>
      <w:r>
        <w:rPr>
          <w:sz w:val="18"/>
          <w:szCs w:val="18"/>
        </w:rPr>
        <w:t xml:space="preserve">[32] M. Lorenz, H. Hochmuth, H. von Wenckstern, M. Grundmann, Flexible hardware concept of pulsed laser deposition for large areas and combinatorial composition spreads. Review of Scientific Instruments 94, 083905 (2023).</w:t>
      </w:r>
    </w:p>
    <w:p>
      <w:pPr>
        <w:spacing w:after="120"/>
      </w:pPr>
      <w:r>
        <w:rPr>
          <w:sz w:val="18"/>
          <w:szCs w:val="18"/>
        </w:rPr>
        <w:t xml:space="preserve">[33] A. Venimadhav, K. A. Yates, M. G. Blamire, Scanning Raman Spectroscopy for Characterizing Compositionally Spread Films. Journal of Combinatorial Chemistry 7, 85–89 (2005).</w:t>
      </w:r>
    </w:p>
    <w:p>
      <w:pPr>
        <w:spacing w:after="120"/>
      </w:pPr>
      <w:r>
        <w:rPr>
          <w:sz w:val="18"/>
          <w:szCs w:val="18"/>
        </w:rPr>
        <w:t xml:space="preserve">[34] Y. Yamasaki, N. Sasabe, Y. Ishii, Y. Sekiguchi, A. Sumiyoshiya, Y. Tanimoto, Y. Kotani, T. Nakamura, H. Nomura, High-throughput mapping of magnetic properties via the on-the-fly XMCD spectroscopy in a combinatorial Fe-Co-Ni film. Science and Technology of Advanced Materials: Methods 5, 2544528 (2025). [volume/article number from a single source – verify before submission]</w:t>
      </w:r>
    </w:p>
    <w:p>
      <w:pPr>
        <w:spacing w:after="120"/>
      </w:pPr>
      <w:r>
        <w:rPr>
          <w:sz w:val="18"/>
          <w:szCs w:val="18"/>
        </w:rPr>
        <w:t xml:space="preserve">[35] D. C. Grinter, P. Ferrer, F. Venturini, M. A. van Spronsen, A. I. Large et al., VerSoX B07-B: a high-throughput XPS and ambient pressure NEXAFS beamline at Diamond Light Source. Journal of Synchrotron Radiation 31, 578–589 (2024).</w:t>
      </w:r>
    </w:p>
    <w:p>
      <w:pPr>
        <w:spacing w:after="120"/>
      </w:pPr>
      <w:r>
        <w:rPr>
          <w:sz w:val="18"/>
          <w:szCs w:val="18"/>
        </w:rPr>
        <w:t xml:space="preserve">[36] M. Tang, L. Dai, M. Cheng, Y. Zhang, Y. Wang et al., High-Throughput Screening Thickness-Dependent Resistive Switching in SrTiO3 Thin Films for Robust Electronic Synapse. Advanced Functional Materials 33, 2213874 (2023).</w:t>
      </w:r>
    </w:p>
    <w:p>
      <w:pPr>
        <w:spacing w:after="120"/>
      </w:pPr>
      <w:r>
        <w:rPr>
          <w:sz w:val="18"/>
          <w:szCs w:val="18"/>
        </w:rPr>
        <w:t xml:space="preserve">[37] S. Wicklein, A. Sambri, S. Amoruso, X. Wang, R. Bruzzese, A. Koehl, R. Dittmann, Pulsed laser ablation of complex oxides: The role of congruent ablation and preferential scattering for the film stoichiometry. Applied Physics Letters 101, 131601 (2012).</w:t>
      </w:r>
    </w:p>
    <w:p>
      <w:pPr>
        <w:spacing w:after="120"/>
      </w:pPr>
      <w:r>
        <w:rPr>
          <w:sz w:val="18"/>
          <w:szCs w:val="18"/>
        </w:rPr>
        <w:t xml:space="preserve">[38] W. C. Chueh, S. M. Haile, Electrochemical studies of capacitance in cerium oxide thin films and its relationship to anionic and electronic defect densities. Physical Chemistry Chemical Physics 11, 8144–8148 (2009).</w:t>
      </w:r>
    </w:p>
    <w:p>
      <w:pPr>
        <w:spacing w:after="120"/>
      </w:pPr>
      <w:r>
        <w:rPr>
          <w:sz w:val="18"/>
          <w:szCs w:val="18"/>
        </w:rPr>
        <w:t xml:space="preserve">[39] A. Schmid, G. M. Rupp, J. Fleig, Voltage and partial pressure dependent defect chemistry in (La,Sr)FeO3-δ thin films investigated by chemical capacitance measurements. Physical Chemistry Chemical Physics 20, 12016–12026 (2018).</w:t>
      </w:r>
    </w:p>
    <w:p>
      <w:pPr>
        <w:spacing w:after="120"/>
      </w:pPr>
      <w:r>
        <w:rPr>
          <w:sz w:val="18"/>
          <w:szCs w:val="18"/>
        </w:rPr>
        <w:t xml:space="preserve">[40] J. J. Kim, S. R. Bishop, N. J. Thompson, H. L. Tuller, Investigation of Nonstoichiometry in Oxide Thin Films by Simultaneous in Situ Optical Absorption and Chemical Capacitance Measurements: Pr-Doped Ceria, a Case Study. Chemistry of Materials 26, 1374–1379 (2014).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German host commitment (employment + reintegration workplace) and host statement from Prof. Chueh required.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2026-08-10T22:40:37.151Z</dcterms:created>
  <dcterms:modified xsi:type="dcterms:W3CDTF">2026-08-10T22:40:37.151Z</dcterms:modified>
</cp:coreProperties>
</file>

<file path=docProps/custom.xml><?xml version="1.0" encoding="utf-8"?>
<Properties xmlns="http://schemas.openxmlformats.org/officeDocument/2006/custom-properties" xmlns:vt="http://schemas.openxmlformats.org/officeDocument/2006/docPropsVTypes"/>
</file>