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xml:space="preserve">) back to the electronic structure – ultimately to the metal–oxygen covalency. The conceptual foundation is the Zaanen–Sawatzky–Allen scheme [21]: the charge-transfer energy Δ (O 2p → metal 3d) measures the position of the O-2p states relative to the metal d states </w:t>
      </w:r>
      <w:r>
        <w:rPr>
          <w:rFonts w:ascii="Arial" w:hAnsi="Arial" w:cs="Arial"/>
          <w:sz w:val="21"/>
          <w:szCs w:val="21"/>
        </w:rPr>
        <w:t xml:space="preserve">and is the microscopic measure of covalency. Its quantitative basis is the cluster-model/configuration-interaction analysis of core-level and valence spectra developed by Fujimori, Bocquet, Saitoh, Sarma and co-workers [91–94], which extracts Δ, U and transfer integrals compound by compound; the covalency scale of this programme is anchored in that framework – hybridisation and covalency are kept strictly distinct, a distinction frequently blurred in the catalysis-descriptor literature, which is used here as motivation and treated critically [95].</w:t>
      </w:r>
      <w:r>
        <w:rPr>
          <w:rFonts w:ascii="Arial" w:hAnsi="Arial" w:cs="Arial"/>
          <w:sz w:val="21"/>
          <w:szCs w:val="21"/>
        </w:rPr>
        <w:t xml:space="preserve">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 xml:space="preserve">XAS provides exactly the observables required for an experimental descriptor map. The pre-edge of the O-K edge (528–532 eV) arises from transitions into unoccupied, covalently hybridised O2p–TM3d states; </w:t>
      </w:r>
      <w:r>
        <w:rPr>
          <w:rFonts w:ascii="Arial" w:hAnsi="Arial" w:cs="Arial"/>
          <w:sz w:val="21"/>
          <w:szCs w:val="21"/>
        </w:rPr>
        <w:t xml:space="preserve">its integrated intensity is a widely used, series-internally comparable measure of metal–oxygen hybridisation [45, 47] – not by itself an absolute covalency scale [95]</w:t>
      </w:r>
      <w:r>
        <w:rPr>
          <w:rFonts w:ascii="Arial" w:hAnsi="Arial" w:cs="Arial"/>
          <w:sz w:val="21"/>
          <w:szCs w:val="21"/>
        </w:rPr>
        <w:t xml:space="preserve">.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t>
      </w:r>
      <w:r>
        <w:rPr>
          <w:rFonts w:ascii="Arial" w:hAnsi="Arial" w:cs="Arial"/>
          <w:sz w:val="21"/>
          <w:szCs w:val="21"/>
        </w:rPr>
        <w:t xml:space="preserve">Within the fellowship project “Covalency as an experimental descriptor of memristive switching beyond the perovskites: the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chain-oxygen series”, the applicant has grown epitaxial YBCO films with continuously tuned chain-oxygen content δ – the one oxide in which switching between two noble Au electrodes is already established and replicated – measured the site-resolved O-K/Cu-L covalency scale across the δ-series</w:t>
      </w:r>
      <w:r>
        <w:rPr>
          <w:rFonts w:ascii="Arial" w:hAnsi="Arial" w:cs="Arial"/>
          <w:sz w:val="21"/>
          <w:szCs w:val="21"/>
        </w:rPr>
        <w:t xml:space="preserve">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 xml:space="preserve">[E4] M. Buczek, [co-authors], W. C. Chueh, [working title: </w:t>
      </w:r>
      <w:r>
        <w:rPr>
          <w:rFonts w:ascii="Arial" w:hAnsi="Arial" w:cs="Arial"/>
          <w:sz w:val="18"/>
          <w:szCs w:val="18"/>
        </w:rPr>
        <w:t xml:space="preserve">A site-resolved covalency scale for noble-electrode YBa2Cu3O7-δ memristive devices</w:t>
      </w:r>
      <w:r>
        <w:rPr>
          <w:rFonts w:ascii="Arial" w:hAnsi="Arial" w:cs="Arial"/>
          <w:sz w:val="18"/>
          <w:szCs w:val="18"/>
        </w:rPr>
        <w:t xml:space="preserve">].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pPr>
        <w:pStyle w:val="NormalWeb"/>
        <w:rPr>
          <w:rFonts w:ascii="Arial" w:hAnsi="Arial" w:cs="Arial"/>
          <w:sz w:val="21"/>
          <w:szCs w:val="21"/>
        </w:rPr>
      </w:pPr>
      <w:r>
        <w:rPr>
          <w:rFonts w:ascii="Arial" w:hAnsi="Arial" w:cs="Arial"/>
          <w:sz w:val="21"/>
          <w:szCs w:val="21"/>
        </w:rPr>
        <w:t xml:space="preserve">A third handle addresses throughput and the weakest link of the evidence chain at once - one wafer, one map. Alongside the discrete samples, each series is additionally grown as a single wafer carrying a continuous lateral cation gradient in continuous-compositional-spread mode [96], for which combinatorial large-area hardware up to four inches exists [97] and epitaxial perovskite spreads are established [98]. Spatially resolved soft XAS turns such a wafer into a continuous covalency map - on-the-fly L-edge mapping across a combinatorial spread has been demonstrated [99], and beamlines built for automated high-throughput NEXAFS are available [100] - while automated prober mapping of the device arrays along the same track yields the corresponding switching map [101]; with 0.2-0.5 mm spots on a 50 mm gradient this delivers 100-250 independent compositions per wafer. The same wafer then carries the defect-chemical gas titration: equilibrated at defined oxygen partial pressure and temperature, every position adopts its own non-stoichiometry, and repeating the equilibration across oxidising and reducing conditions yields the reduction enthalpy as a function of composition - an experimentally determined vacancy-formation energy measured on the same spots as the covalency descriptor. Because XAS delivers valence rather than absolute oxygen content, the map is calibrated against chemical-capacitance or chemical-expansion anchor points [102, 103], with optical absorption as a second, fully imageable read-out [104]; thin-film defect chemistry of exactly this type is established for ceria films [102] and for ferrite films [103]. This is what turns the second link of the chain - EV versus covalency - from a computed premise into a measured correlation. The risks are explicit and budgeted: composition, thickness and strain gradients must be deconvolved by per-position metrology (XRF/WDS, XRR, XRD), because cation transfer in PLD is fluence- and pressure-sensitive [59]; electron-yield detection is limited in pressure and probes only the outer nanometres, so bulk-sensitive fluorescence yield is recorded alongside; and soft-X-ray photoreduction of Ce, Mn, Fe and Co drives the valence in the same direction as the gas-induced reduction under study, which makes dose series a precondition of every descriptor claim rather than an afterthought.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w:t>
      </w:r>
      <w:r>
        <w:rPr>
          <w:rFonts w:ascii="Arial" w:hAnsi="Arial" w:cs="Arial"/>
          <w:sz w:val="21"/>
          <w:szCs w:val="21"/>
        </w:rPr>
        <w:t xml:space="preserve">growth of a doping series, XAS covalency quantification, noble-electrode devices, correlation against switching data – has been established and de-risked on the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pilot series during the applicant’s Feodor Lynen project [E4] and is transferred here to the perovskite series</w:t>
      </w:r>
      <w:r>
        <w:rPr>
          <w:rFonts w:ascii="Arial" w:hAnsi="Arial" w:cs="Arial"/>
          <w:sz w:val="21"/>
          <w:szCs w:val="21"/>
        </w:rPr>
        <w:t xml:space="preserve">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r>
        <w:rPr>
          <w:rFonts w:ascii="Arial" w:hAnsi="Arial" w:cs="Arial"/>
          <w:sz w:val="21"/>
          <w:szCs w:val="21"/>
        </w:rPr>
        <w:t xml:space="preserve"> In addition, gradient wafers carrying a continuous lateral cation gradient are grown in continuous-compositional-spread mode [96, 97] and characterised position by position (XRF/WDS composition map, XRR thickness, XRD structural quality); they are the high-throughput carrier for the spectroscopy in WP4 and the correlation in WP5.</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r>
        <w:rPr>
          <w:rFonts w:ascii="Arial" w:hAnsi="Arial" w:cs="Arial"/>
          <w:sz w:val="21"/>
          <w:szCs w:val="21"/>
        </w:rPr>
        <w:t xml:space="preserve"> On the gradient wafers, XAS is acquired as a positional map, and the defect-chemical gas titration (equilibration at defined oxygen partial pressure and temperature, spatially resolved read-out of the resulting non-stoichiometry, calibration against chemical-capacitance or chemical-expansion anchors [102, 103]) yields the reduction enthalpy per composition, co-located with the covalency descriptor; radiation-dose series and bulk-sensitive fluorescence yield are mandatory controls.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336543102"/>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pPr>
        <w:spacing w:after="60"/>
        <w:ind w:hanging="480"/>
        <w:divId w:val="336543102"/>
        <w:rPr>
          <w:rFonts w:ascii="Arial" w:hAnsi="Arial" w:cs="Arial"/>
          <w:sz w:val="18"/>
          <w:szCs w:val="18"/>
        </w:rPr>
      </w:pPr>
      <w:r>
        <w:rPr>
          <w:rFonts w:ascii="Arial" w:hAnsi="Arial" w:cs="Arial"/>
          <w:sz w:val="18"/>
          <w:szCs w:val="18"/>
        </w:rPr>
        <w:t xml:space="preserve">[91] A. Fujimori, F. Minami, Valence-band photoemission and optical absorption in nickel compounds. Physical Review B 30, 957–971 (1984).</w:t>
      </w:r>
    </w:p>
    <w:p>
      <w:pPr>
        <w:spacing w:after="60"/>
        <w:ind w:hanging="480"/>
        <w:divId w:val="336543102"/>
        <w:rPr>
          <w:rFonts w:ascii="Arial" w:hAnsi="Arial" w:cs="Arial"/>
          <w:sz w:val="18"/>
          <w:szCs w:val="18"/>
        </w:rPr>
      </w:pPr>
      <w:r>
        <w:rPr>
          <w:rFonts w:ascii="Arial" w:hAnsi="Arial" w:cs="Arial"/>
          <w:sz w:val="18"/>
          <w:szCs w:val="18"/>
        </w:rPr>
        <w:t xml:space="preserve">[92] A. E. Bocquet, T. Mizokawa, T. Saitoh, H. Namatame, A. Fujimori, Electronic structure of 3d-transition-metal compounds by analysis of the 2p core-level photoemission spectra. Physical Review B 46, 3771–3784 (1992).</w:t>
      </w:r>
    </w:p>
    <w:p>
      <w:pPr>
        <w:spacing w:after="60"/>
        <w:ind w:hanging="480"/>
        <w:divId w:val="336543102"/>
        <w:rPr>
          <w:rFonts w:ascii="Arial" w:hAnsi="Arial" w:cs="Arial"/>
          <w:sz w:val="18"/>
          <w:szCs w:val="18"/>
        </w:rPr>
      </w:pPr>
      <w:r>
        <w:rPr>
          <w:rFonts w:ascii="Arial" w:hAnsi="Arial" w:cs="Arial"/>
          <w:sz w:val="18"/>
          <w:szCs w:val="18"/>
        </w:rPr>
        <w:t xml:space="preserve">[93] T. Saitoh, A. E. Bocquet, T. Mizokawa, A. Fujimori, Systematic variation of the electronic structure of 3d transition-metal compounds. Physical Review B 52, 7934–7938 (1995).</w:t>
      </w:r>
    </w:p>
    <w:p>
      <w:pPr>
        <w:spacing w:after="60"/>
        <w:ind w:hanging="480"/>
        <w:divId w:val="336543102"/>
        <w:rPr>
          <w:rFonts w:ascii="Arial" w:hAnsi="Arial" w:cs="Arial"/>
          <w:sz w:val="18"/>
          <w:szCs w:val="18"/>
        </w:rPr>
      </w:pPr>
      <w:r>
        <w:rPr>
          <w:rFonts w:ascii="Arial" w:hAnsi="Arial" w:cs="Arial"/>
          <w:sz w:val="18"/>
          <w:szCs w:val="18"/>
        </w:rPr>
        <w:t xml:space="preserve">[94] S. Nimkar, D. D. Sarma, H. R. Krishnamurthy, S. Ramasesha, Mean-field results of the multiple-band extended Hubbard model for the square-planar CuO2 lattice. Physical Review B 48, 7355–7363 (1993).</w:t>
      </w:r>
    </w:p>
    <w:p>
      <w:pPr>
        <w:spacing w:after="60"/>
        <w:ind w:hanging="480"/>
        <w:divId w:val="336543102"/>
        <w:rPr>
          <w:rFonts w:ascii="Arial" w:hAnsi="Arial" w:cs="Arial"/>
          <w:sz w:val="18"/>
          <w:szCs w:val="18"/>
        </w:rPr>
      </w:pPr>
      <w:r>
        <w:rPr>
          <w:rFonts w:ascii="Arial" w:hAnsi="Arial" w:cs="Arial"/>
          <w:sz w:val="18"/>
          <w:szCs w:val="18"/>
        </w:rPr>
        <w:t xml:space="preserve">[95] F. M. F. de Groot, X-ray absorption and dichroism of transition metals and their compounds. Journal of Electron Spectroscopy and Related Phenomena 67, 529–622 (1994).</w:t>
      </w:r>
    </w:p>
    <w:p>
      <w:pPr>
        <w:spacing w:after="60"/>
        <w:ind w:hanging="480"/>
        <w:divId w:val="336543102"/>
        <w:rPr>
          <w:rFonts w:ascii="Arial" w:hAnsi="Arial" w:cs="Arial"/>
          <w:sz w:val="18"/>
          <w:szCs w:val="18"/>
        </w:rPr>
      </w:pPr>
      <w:r>
        <w:rPr>
          <w:rFonts w:ascii="Arial" w:hAnsi="Arial" w:cs="Arial"/>
          <w:sz w:val="18"/>
          <w:szCs w:val="18"/>
        </w:rPr>
        <w:t xml:space="preserve">[96]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60"/>
        <w:ind w:hanging="480"/>
        <w:divId w:val="336543102"/>
        <w:rPr>
          <w:rFonts w:ascii="Arial" w:hAnsi="Arial" w:cs="Arial"/>
          <w:sz w:val="18"/>
          <w:szCs w:val="18"/>
        </w:rPr>
      </w:pPr>
      <w:r>
        <w:rPr>
          <w:rFonts w:ascii="Arial" w:hAnsi="Arial" w:cs="Arial"/>
          <w:sz w:val="18"/>
          <w:szCs w:val="18"/>
        </w:rPr>
        <w:t xml:space="preserve">[97] M. Lorenz, H. Hochmuth, H. von Wenckstern, M. Grundmann, Flexible hardware concept of pulsed laser deposition for large areas and combinatorial composition spreads. Review of Scientific Instruments 94, 083905 (2023).</w:t>
      </w:r>
    </w:p>
    <w:p>
      <w:pPr>
        <w:spacing w:after="60"/>
        <w:ind w:hanging="480"/>
        <w:divId w:val="336543102"/>
        <w:rPr>
          <w:rFonts w:ascii="Arial" w:hAnsi="Arial" w:cs="Arial"/>
          <w:sz w:val="18"/>
          <w:szCs w:val="18"/>
        </w:rPr>
      </w:pPr>
      <w:r>
        <w:rPr>
          <w:rFonts w:ascii="Arial" w:hAnsi="Arial" w:cs="Arial"/>
          <w:sz w:val="18"/>
          <w:szCs w:val="18"/>
        </w:rPr>
        <w:t xml:space="preserve">[98] A. Venimadhav, K. A. Yates, M. G. Blamire, Scanning Raman Spectroscopy for Characterizing Compositionally Spread Films. Journal of Combinatorial Chemistry 7, 85-89 (2005).</w:t>
      </w:r>
    </w:p>
    <w:p>
      <w:pPr>
        <w:spacing w:after="60"/>
        <w:ind w:hanging="480"/>
        <w:divId w:val="336543102"/>
        <w:rPr>
          <w:rFonts w:ascii="Arial" w:hAnsi="Arial" w:cs="Arial"/>
          <w:sz w:val="18"/>
          <w:szCs w:val="18"/>
        </w:rPr>
      </w:pPr>
      <w:r>
        <w:rPr>
          <w:rFonts w:ascii="Arial" w:hAnsi="Arial" w:cs="Arial"/>
          <w:sz w:val="18"/>
          <w:szCs w:val="18"/>
        </w:rPr>
        <w:t xml:space="preserve">[99]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60"/>
        <w:ind w:hanging="480"/>
        <w:divId w:val="336543102"/>
        <w:rPr>
          <w:rFonts w:ascii="Arial" w:hAnsi="Arial" w:cs="Arial"/>
          <w:sz w:val="18"/>
          <w:szCs w:val="18"/>
        </w:rPr>
      </w:pPr>
      <w:r>
        <w:rPr>
          <w:rFonts w:ascii="Arial" w:hAnsi="Arial" w:cs="Arial"/>
          <w:sz w:val="18"/>
          <w:szCs w:val="18"/>
        </w:rPr>
        <w:t xml:space="preserve">[100] D. C. Grinter, P. Ferrer, F. Venturini, M. A. van Spronsen, A. I. Large et al., VerSoX B07-B: a high-throughput XPS and ambient pressure NEXAFS beamline at Diamond Light Source. Journal of Synchrotron Radiation 31, 578-589 (2024).</w:t>
      </w:r>
    </w:p>
    <w:p>
      <w:pPr>
        <w:spacing w:after="60"/>
        <w:ind w:hanging="480"/>
        <w:divId w:val="336543102"/>
        <w:rPr>
          <w:rFonts w:ascii="Arial" w:hAnsi="Arial" w:cs="Arial"/>
          <w:sz w:val="18"/>
          <w:szCs w:val="18"/>
        </w:rPr>
      </w:pPr>
      <w:r>
        <w:rPr>
          <w:rFonts w:ascii="Arial" w:hAnsi="Arial" w:cs="Arial"/>
          <w:sz w:val="18"/>
          <w:szCs w:val="18"/>
        </w:rPr>
        <w:t xml:space="preserve">[101] M. Tang, L. Dai, M. Cheng, Y. Zhang, Y. Wang et al., High-Throughput Screening Thickness-Dependent Resistive Switching in SrTiO3 Thin Films for Robust Electronic Synapse. Advanced Functional Materials 33, 2213874 (2023).</w:t>
      </w:r>
    </w:p>
    <w:p>
      <w:pPr>
        <w:spacing w:after="60"/>
        <w:ind w:hanging="480"/>
        <w:divId w:val="336543102"/>
        <w:rPr>
          <w:rFonts w:ascii="Arial" w:hAnsi="Arial" w:cs="Arial"/>
          <w:sz w:val="18"/>
          <w:szCs w:val="18"/>
        </w:rPr>
      </w:pPr>
      <w:r>
        <w:rPr>
          <w:rFonts w:ascii="Arial" w:hAnsi="Arial" w:cs="Arial"/>
          <w:sz w:val="18"/>
          <w:szCs w:val="18"/>
        </w:rPr>
        <w:t xml:space="preserve">[102] W. C. Chueh, S. M. Haile, Electrochemical studies of capacitance in cerium oxide thin films and its relationship to anionic and electronic defect densities. Physical Chemistry Chemical Physics 11, 8144-8148 (2009).</w:t>
      </w:r>
    </w:p>
    <w:p>
      <w:pPr>
        <w:spacing w:after="60"/>
        <w:ind w:hanging="480"/>
        <w:divId w:val="336543102"/>
        <w:rPr>
          <w:rFonts w:ascii="Arial" w:hAnsi="Arial" w:cs="Arial"/>
          <w:sz w:val="18"/>
          <w:szCs w:val="18"/>
        </w:rPr>
      </w:pPr>
      <w:r>
        <w:rPr>
          <w:rFonts w:ascii="Arial" w:hAnsi="Arial" w:cs="Arial"/>
          <w:sz w:val="18"/>
          <w:szCs w:val="18"/>
        </w:rPr>
        <w:t xml:space="preserve">[103] A. Schmid, G. M. Rupp, J. Fleig, Voltage and partial pressure dependent defect chemistry in (La,Sr)FeO3-d thin films investigated by chemical capacitance measurements. Physical Chemistry Chemical Physics 20, 12016-12026 (2018).</w:t>
      </w:r>
    </w:p>
    <w:p>
      <w:pPr>
        <w:spacing w:after="60"/>
        <w:ind w:hanging="480"/>
        <w:divId w:val="336543102"/>
        <w:rPr>
          <w:rFonts w:ascii="Arial" w:hAnsi="Arial" w:cs="Arial"/>
          <w:sz w:val="18"/>
          <w:szCs w:val="18"/>
        </w:rPr>
      </w:pPr>
      <w:r>
        <w:rPr>
          <w:rFonts w:ascii="Arial" w:hAnsi="Arial" w:cs="Arial"/>
          <w:sz w:val="18"/>
          <w:szCs w:val="18"/>
        </w:rPr>
        <w:t xml:space="preserve">[104] J. J. Kim, S. R. Bishop, N. J. Thompson, H. L. Tuller, Investigation of Nonstoichiometry in Oxide Thin Films by Simultaneous in Situ Optical Absorption and Chemical Capacitance Measurements: Pr-Doped Ceria, a Case Study. Chemistry of Materials 26, 1374-1379 (2014).</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