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switching between noble Au electrodes – the one oxide platform where noble-contact switching was already established and replicated – with a site-resolved XAS covalency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covalency scale) that I de-risked on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pPr>
        <w:pStyle w:val="NormalWeb"/>
        <w:rPr>
          <w:rFonts w:ascii="Arial" w:hAnsi="Arial" w:cs="Arial"/>
          <w:sz w:val="21"/>
          <w:szCs w:val="21"/>
        </w:rPr>
      </w:pPr>
      <w:r>
        <w:rPr>
          <w:rFonts w:ascii="Arial" w:hAnsi="Arial" w:cs="Arial"/>
          <w:sz w:val="21"/>
          <w:szCs w:val="21"/>
        </w:rPr>
        <w:t xml:space="preserve">(iv) Throughput by design - one wafer, one map: the composition series are additionally realised as single wafers carrying a continuous lateral cation gradient, grown in continuous-compositional-spread mode [44] on combinatorial large-area hardware of the class that reaches four-inch substrates [45], an approach established for epitaxial perovskites [46]. Spatially resolved soft XAS converts such a wafer into a continuous covalency map - on-the-fly L-edge mapping across a combinatorial spread has been demonstrated [47] and beamlines built for automated high-throughput NEXAFS are available [48] - while automated prober mapping of device arrays along the same gradient track yields the corresponding switching map [49]; 0.2-0.5 mm spots on a 50 mm gradient give 100-250 independent compositions per wafer. Decisively, the same wafer also carries the defect-chemical gas titration: equilibration at defined oxygen partial pressure and temperature, spatially resolved read-out of the resulting non-stoichiometry and van 't Hoff analysis across oxidising and reducing conditions yield the reduction enthalpy as a function of composition - an experimental vacancy-formation energy co-located with the descriptor. Since XAS gives valence rather than absolute oxygen content, the map is calibrated against chemical-capacitance or chemical-expansion anchors [51, 52], with optical absorption as a second, fully imageable read-out [53]; thin-film defect chemistry of this type is established for ceria [51] and ferrite films [52]. This is what turns the covalency-EV link from a computed premise into a measured correlation, and it is what makes a map across many systems - rather than a study of one - realistic. The risks are explicit: composition, thickness and strain gradients must be deconvolved by per-position metrology because cation transfer in PLD is fluence- and pressure-sensitive [50]; electron-yield detection is pressure-limited and surface-sensitive, so bulk-sensitive fluorescence yield runs alongside; and soft-X-ray photoreduction drives valence in the same direction as the gas-induced reduction under study, so dose series precede every descriptor claim.</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established the site-resolved O-K/Cu-L covalency scale at SSRL, and correlated it with switching in Au-contacted devices</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295451038"/>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295451038"/>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295451038"/>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295451038"/>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295451038"/>
        <w:rPr>
          <w:rFonts w:ascii="Arial" w:hAnsi="Arial" w:cs="Arial"/>
          <w:sz w:val="18"/>
          <w:szCs w:val="18"/>
        </w:rPr>
      </w:pPr>
      <w:r>
        <w:rPr>
          <w:rFonts w:ascii="Arial" w:hAnsi="Arial" w:cs="Arial"/>
          <w:sz w:val="18"/>
          <w:szCs w:val="18"/>
        </w:rPr>
        <w:t xml:space="preserve">[43] S. Nimkar, D. D. Sarma, H. R. Krishnamurthy, S. Ramasesha, Physical Review B 48, 7355–7363 (1993).</w:t>
      </w:r>
    </w:p>
    <w:p>
      <w:pPr>
        <w:spacing w:after="60"/>
        <w:ind w:hanging="480"/>
        <w:divId w:val="295451038"/>
        <w:rPr>
          <w:rFonts w:ascii="Arial" w:hAnsi="Arial" w:cs="Arial"/>
          <w:sz w:val="18"/>
          <w:szCs w:val="18"/>
        </w:rPr>
      </w:pPr>
      <w:r>
        <w:rPr>
          <w:rFonts w:ascii="Arial" w:hAnsi="Arial" w:cs="Arial"/>
          <w:sz w:val="18"/>
          <w:szCs w:val="18"/>
        </w:rPr>
        <w:t xml:space="preserve">[44] H. M. Christen, C. M. Rouleau, I. Ohkubo, H. Y. Zhai, H. N. Lee, S. Sathyamurthy, D. H. Lowndes, Review of Scientific Instruments 74, 4058-4062 (2003).</w:t>
      </w:r>
    </w:p>
    <w:p>
      <w:pPr>
        <w:spacing w:after="60"/>
        <w:ind w:hanging="480"/>
        <w:divId w:val="295451038"/>
        <w:rPr>
          <w:rFonts w:ascii="Arial" w:hAnsi="Arial" w:cs="Arial"/>
          <w:sz w:val="18"/>
          <w:szCs w:val="18"/>
        </w:rPr>
      </w:pPr>
      <w:r>
        <w:rPr>
          <w:rFonts w:ascii="Arial" w:hAnsi="Arial" w:cs="Arial"/>
          <w:sz w:val="18"/>
          <w:szCs w:val="18"/>
        </w:rPr>
        <w:t xml:space="preserve">[45] M. Lorenz, H. Hochmuth, H. von Wenckstern, M. Grundmann, Review of Scientific Instruments 94, 083905 (2023).</w:t>
      </w:r>
    </w:p>
    <w:p>
      <w:pPr>
        <w:spacing w:after="60"/>
        <w:ind w:hanging="480"/>
        <w:divId w:val="295451038"/>
        <w:rPr>
          <w:rFonts w:ascii="Arial" w:hAnsi="Arial" w:cs="Arial"/>
          <w:sz w:val="18"/>
          <w:szCs w:val="18"/>
        </w:rPr>
      </w:pPr>
      <w:r>
        <w:rPr>
          <w:rFonts w:ascii="Arial" w:hAnsi="Arial" w:cs="Arial"/>
          <w:sz w:val="18"/>
          <w:szCs w:val="18"/>
        </w:rPr>
        <w:t xml:space="preserve">[46] A. Venimadhav, K. A. Yates, M. G. Blamire, Journal of Combinatorial Chemistry 7, 85-89 (2005).</w:t>
      </w:r>
    </w:p>
    <w:p>
      <w:pPr>
        <w:spacing w:after="60"/>
        <w:ind w:hanging="480"/>
        <w:divId w:val="295451038"/>
        <w:rPr>
          <w:rFonts w:ascii="Arial" w:hAnsi="Arial" w:cs="Arial"/>
          <w:sz w:val="18"/>
          <w:szCs w:val="18"/>
        </w:rPr>
      </w:pPr>
      <w:r>
        <w:rPr>
          <w:rFonts w:ascii="Arial" w:hAnsi="Arial" w:cs="Arial"/>
          <w:sz w:val="18"/>
          <w:szCs w:val="18"/>
        </w:rPr>
        <w:t xml:space="preserve">[47] Y. Yamasaki, N. Sasabe, Y. Ishii et al., Science and Technology of Advanced Materials: Methods 5, 2544528 (2025). [volume/article number from a single source - verify]</w:t>
      </w:r>
    </w:p>
    <w:p>
      <w:pPr>
        <w:spacing w:after="60"/>
        <w:ind w:hanging="480"/>
        <w:divId w:val="295451038"/>
        <w:rPr>
          <w:rFonts w:ascii="Arial" w:hAnsi="Arial" w:cs="Arial"/>
          <w:sz w:val="18"/>
          <w:szCs w:val="18"/>
        </w:rPr>
      </w:pPr>
      <w:r>
        <w:rPr>
          <w:rFonts w:ascii="Arial" w:hAnsi="Arial" w:cs="Arial"/>
          <w:sz w:val="18"/>
          <w:szCs w:val="18"/>
        </w:rPr>
        <w:t xml:space="preserve">[48] D. C. Grinter, P. Ferrer, F. Venturini et al., Journal of Synchrotron Radiation 31, 578-589 (2024).</w:t>
      </w:r>
    </w:p>
    <w:p>
      <w:pPr>
        <w:spacing w:after="60"/>
        <w:ind w:hanging="480"/>
        <w:divId w:val="295451038"/>
        <w:rPr>
          <w:rFonts w:ascii="Arial" w:hAnsi="Arial" w:cs="Arial"/>
          <w:sz w:val="18"/>
          <w:szCs w:val="18"/>
        </w:rPr>
      </w:pPr>
      <w:r>
        <w:rPr>
          <w:rFonts w:ascii="Arial" w:hAnsi="Arial" w:cs="Arial"/>
          <w:sz w:val="18"/>
          <w:szCs w:val="18"/>
        </w:rPr>
        <w:t xml:space="preserve">[49] M. Tang, L. Dai, M. Cheng et al., Advanced Functional Materials 33, 2213874 (2023).</w:t>
      </w:r>
    </w:p>
    <w:p>
      <w:pPr>
        <w:spacing w:after="60"/>
        <w:ind w:hanging="480"/>
        <w:divId w:val="295451038"/>
        <w:rPr>
          <w:rFonts w:ascii="Arial" w:hAnsi="Arial" w:cs="Arial"/>
          <w:sz w:val="18"/>
          <w:szCs w:val="18"/>
        </w:rPr>
      </w:pPr>
      <w:r>
        <w:rPr>
          <w:rFonts w:ascii="Arial" w:hAnsi="Arial" w:cs="Arial"/>
          <w:sz w:val="18"/>
          <w:szCs w:val="18"/>
        </w:rPr>
        <w:t xml:space="preserve">[50] S. Wicklein, A. Sambri, S. Amoruso, X. Wang, R. Bruzzese, A. Koehl, R. Dittmann, Applied Physics Letters 101, 131601 (2012).</w:t>
      </w:r>
    </w:p>
    <w:p>
      <w:pPr>
        <w:spacing w:after="60"/>
        <w:ind w:hanging="480"/>
        <w:divId w:val="295451038"/>
        <w:rPr>
          <w:rFonts w:ascii="Arial" w:hAnsi="Arial" w:cs="Arial"/>
          <w:sz w:val="18"/>
          <w:szCs w:val="18"/>
        </w:rPr>
      </w:pPr>
      <w:r>
        <w:rPr>
          <w:rFonts w:ascii="Arial" w:hAnsi="Arial" w:cs="Arial"/>
          <w:sz w:val="18"/>
          <w:szCs w:val="18"/>
        </w:rPr>
        <w:t xml:space="preserve">[51] W. C. Chueh, S. M. Haile, Physical Chemistry Chemical Physics 11, 8144-8148 (2009).</w:t>
      </w:r>
    </w:p>
    <w:p>
      <w:pPr>
        <w:spacing w:after="60"/>
        <w:ind w:hanging="480"/>
        <w:divId w:val="295451038"/>
        <w:rPr>
          <w:rFonts w:ascii="Arial" w:hAnsi="Arial" w:cs="Arial"/>
          <w:sz w:val="18"/>
          <w:szCs w:val="18"/>
        </w:rPr>
      </w:pPr>
      <w:r>
        <w:rPr>
          <w:rFonts w:ascii="Arial" w:hAnsi="Arial" w:cs="Arial"/>
          <w:sz w:val="18"/>
          <w:szCs w:val="18"/>
        </w:rPr>
        <w:t xml:space="preserve">[52] A. Schmid, G. M. Rupp, J. Fleig, Physical Chemistry Chemical Physics 20, 12016-12026 (2018).</w:t>
      </w:r>
    </w:p>
    <w:p>
      <w:pPr>
        <w:spacing w:after="60"/>
        <w:ind w:hanging="480"/>
        <w:divId w:val="295451038"/>
        <w:rPr>
          <w:rFonts w:ascii="Arial" w:hAnsi="Arial" w:cs="Arial"/>
          <w:sz w:val="18"/>
          <w:szCs w:val="18"/>
        </w:rPr>
      </w:pPr>
      <w:r>
        <w:rPr>
          <w:rFonts w:ascii="Arial" w:hAnsi="Arial" w:cs="Arial"/>
          <w:sz w:val="18"/>
          <w:szCs w:val="18"/>
        </w:rPr>
        <w:t xml:space="preserve">[53] J. J. Kim, S. R. Bishop, N. J. Thompson, H. L. Tuller, Chemistry of Materials 26, 1374-1379 (2014).</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covalency descriptors beyond the perovskites: epitaxial </w:t>
            </w:r>
            <w:r>
              <w:rPr>
                <w:rFonts w:ascii="Arial" w:eastAsia="Times New Roman" w:hAnsi="Arial" w:cs="Arial"/>
                <w:sz w:val="19"/>
                <w:szCs w:val="19"/>
              </w:rPr>
              <w:t xml:space="preserve">YBa</w:t>
            </w:r>
            <w:r>
              <w:rPr>
                <w:rFonts w:ascii="Arial" w:eastAsia="Times New Roman" w:hAnsi="Arial" w:cs="Arial"/>
                <w:sz w:val="19"/>
                <w:szCs w:val="19"/>
                <w:vertAlign w:val="subscript"/>
              </w:rPr>
              <w:t xml:space="preserve">2</w:t>
            </w:r>
            <w:r>
              <w:rPr>
                <w:rFonts w:ascii="Arial" w:eastAsia="Times New Roman" w:hAnsi="Arial" w:cs="Arial"/>
                <w:sz w:val="19"/>
                <w:szCs w:val="19"/>
              </w:rPr>
              <w:t xml:space="preserve">Cu</w:t>
            </w:r>
            <w:r>
              <w:rPr>
                <w:rFonts w:ascii="Arial" w:eastAsia="Times New Roman" w:hAnsi="Arial" w:cs="Arial"/>
                <w:sz w:val="19"/>
                <w:szCs w:val="19"/>
                <w:vertAlign w:val="subscript"/>
              </w:rPr>
              <w:t xml:space="preserve">3</w:t>
            </w:r>
            <w:r>
              <w:rPr>
                <w:rFonts w:ascii="Arial" w:eastAsia="Times New Roman" w:hAnsi="Arial" w:cs="Arial"/>
                <w:sz w:val="19"/>
                <w:szCs w:val="19"/>
              </w:rPr>
              <w:t xml:space="preserve">O</w:t>
            </w:r>
            <w:r>
              <w:rPr>
                <w:rFonts w:ascii="Arial" w:eastAsia="Times New Roman" w:hAnsi="Arial" w:cs="Arial"/>
                <w:sz w:val="19"/>
                <w:szCs w:val="19"/>
                <w:vertAlign w:val="subscript"/>
              </w:rPr>
              <w:t xml:space="preserve">7-δ</w:t>
            </w:r>
            <w:r>
              <w:rPr>
                <w:rFonts w:ascii="Arial" w:eastAsia="Times New Roman" w:hAnsi="Arial" w:cs="Arial"/>
                <w:sz w:val="19"/>
                <w:szCs w:val="19"/>
              </w:rPr>
              <w:t xml:space="preserve"> chain-oxygen series with Au-contact devices,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 site-resolved covalency scale for noble-electrode YBa2Cu3O7-δ memristive devices</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