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in the Fluorite Class: the Ce1-xGdxO2-δ Series on the Published Pt/Pt Crossbar Platform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w:t>
      </w:r>
      <w:r>
        <w:t xml:space="preserve">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[30] on a large-area PLD system of the type I have already used for wafer-scale memristive heterostructures [E3]; combinatorial hardware of this class covers substrates up to four inches [31], and epitaxial perovskite composition spreads are established [32]. Spatially resolved soft XAS turns such a wafer into a continuous covalency map – on-the-fly L-edge mapping of a combinatorial spread with a 0.5 mm beam has recently been demonstrated [33], and beamlines built for automated high-throughput NEXAFS exist for exactly this duty cycle [34] – while automated prober mapping of device arrays along the same gradient track yields the corresponding switching map [35].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[30], cation transfer is fluence- and pO2-sensitive and therefore calibrated per position [36],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[37], chemical expansion (high-temperature XRD) or a reference of known stoichiometry; optical absorption provides a second, fully imageable δ read-out [39]. Thin-film defect chemistry of exactly this type is established for ceria films [37] and for (La,Sr)FeO3-δ films [38],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[34].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r>
        <w:t xml:space="preserve"> In parallel with the discrete samples, a gradient wafer of the same system is grown in continuous-compositional-spread mode [30, 31]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[34], with equilibrium and radiation-dose controls preceding any descriptor claim.</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[20]. The choice of GDC is deliberately map-strategic – and deliberately Chueh-strategic: nonstoichiometric ceria is the host group’s founding material [17], so the fellowship combines my device platform with the world’s deepest ceria defect-chemistry expertise, and it extends the planned descriptor map to the fluorite class.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[30]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[31]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[32] A. Venimadhav, K. A. Yates, M. G. Blamire, Scanning Raman Spectroscopy for Characterizing Compositionally Spread Films. Journal of Combinatorial Chemistry 7, 85–89 (2005).</w:t>
      </w:r>
    </w:p>
    <w:p>
      <w:pPr>
        <w:spacing w:after="120"/>
      </w:pPr>
      <w:r>
        <w:rPr>
          <w:sz w:val="18"/>
          <w:szCs w:val="18"/>
        </w:rPr>
        <w:t xml:space="preserve">[33]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[34]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[35]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[36]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[37]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[38]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[39]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An experimental reducibility descriptor for Pt/Ce1-xGdxO2-δ/Pt memristive crossbars].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2026-08-09T17:57:15.471Z</dcterms:created>
  <dcterms:modified xsi:type="dcterms:W3CDTF">2026-08-09T17:57:15.471Z</dcterms:modified>
</cp:coreProperties>
</file>

<file path=docProps/custom.xml><?xml version="1.0" encoding="utf-8"?>
<Properties xmlns="http://schemas.openxmlformats.org/officeDocument/2006/custom-properties" xmlns:vt="http://schemas.openxmlformats.org/officeDocument/2006/docPropsVTypes"/>
</file>