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</w:rPr>
        <w:t xml:space="preserve">Marie Skłodowska-Curie Actions – Postdoctoral Fellowship (Global Fellowship)</w:t>
      </w:r>
    </w:p>
    <w:p>
      <w:pPr>
        <w:pStyle w:val="Title"/>
      </w:pPr>
      <w:r>
        <w:t xml:space="preserve">Programme Adaptation: Covalency as a Switching Descriptor – the La1-xSrxCoO3-δ Series with its SrCoOx Anchor</w:t>
      </w:r>
    </w:p>
    <w:p>
      <w:pPr>
        <w:spacing w:after="120"/>
      </w:pPr>
      <w:r>
        <w:rPr>
          <w:i/>
          <w:iCs/>
          <w:sz w:val="18"/>
          <w:szCs w:val="18"/>
        </w:rPr>
        <w:t xml:space="preserve">Applicant: Dr. Max Buczek (PGI-7, Forschungszentrum Jülich) · Host abroad: Prof. W. C. Chueh, Stanford University / SLAC (SSRL) · Status: programme-specific adaptation of this folder’s pilot project; the scientific core is defined in the Feodor Lynen exposé of this folder (FeodorLynen_LSCO_EN, Sections 1–4) and carries over unchanged. Added 09.08.2026 alongside the Lynen/Emmy Noether/ERC set.</w:t>
      </w:r>
    </w:p>
    <w:p>
      <w:pPr>
        <w:pStyle w:val="Heading1"/>
        <w:spacing w:after="120" w:before="240"/>
      </w:pPr>
      <w:r>
        <w:t xml:space="preserve">1  Programme fact sheet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2"/>
      </w:tblGrid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Format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 Postdoctoral Fellowship: 24-month outgoing phase at Stanford University / SLAC (third country) + mandatory 12-month return phase at the European host [FZ Jülich or RWTH Aachen as applicant/beneficiary organisation]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Funding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Horizon Europe unit costs: living, mobility and (if applicable) family allowances, country-corrected [insert current rates]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Eligibility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PhD ≤ 8 years at call deadline; MSCA mobility rule for the outgoing host country (max. 12 months in the USA within the 36 months before the deadline) [verify against personal record]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Application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Annual single-stage call [insert current deadline, typically September], submitted by the European host institution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Special feature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Explicit training, supervision and two-way knowledge-transfer requirements; funded return phase</w:t>
            </w:r>
          </w:p>
        </w:tc>
      </w:tr>
    </w:tbl>
    <w:p>
      <w:pPr>
        <w:pStyle w:val="Heading1"/>
        <w:spacing w:after="120" w:before="240"/>
      </w:pPr>
      <w:r>
        <w:t xml:space="preserve">2  Programme fit and strategy</w:t>
      </w:r>
    </w:p>
    <w:p>
      <w:pPr>
        <w:spacing w:after="120"/>
      </w:pPr>
      <w:r>
        <w:t xml:space="preserve">The MSCA Global Fellowship extends the Lynen-type pilot with a funded 12-month return phase: the outgoing 24 months at Stanford run the identical work programme, and the return phase at the European host institutionalises exactly what the group programme needs – transfer of the SSRL-proven XAS protocols to European beamlines, integration of the descriptor dataset into the map, and preparation of the ERC/Emmy Noether bid. MSCA-specific proposal sections (training objectives, supervision arrangement between Prof. Chueh and the German host, dissemination and exploitation plan, two-way transfer of knowledge) must be added per the current template; the scientific core carries over unchanged.</w:t>
      </w:r>
    </w:p>
    <w:p>
      <w:pPr>
        <w:pStyle w:val="Heading1"/>
        <w:spacing w:after="120" w:before="240"/>
      </w:pPr>
      <w:r>
        <w:t xml:space="preserve">3  Project core (summary)</w:t>
      </w:r>
    </w:p>
    <w:p>
      <w:pPr>
        <w:spacing w:after="120"/>
      </w:pPr>
      <w:r>
        <w:t xml:space="preserve">Covalency as an experimental descriptor of memristive switching in La1-xSrxCoO3-δ (LSCO) – the family with the most explicitly documented covalency→EV link (experimental defect chemistry, Mizusaki 1989; DFT, Mefford 2016) and a switching-proven Au-active anchor at its SrCoOx end member (Acharya 2016; Nallagatla 2019). The project extends the proven end-member platform across the composition series.</w:t>
      </w:r>
    </w:p>
    <w:p>
      <w:pPr>
        <w:spacing w:after="120"/>
      </w:pPr>
      <w:r>
        <w:rPr>
          <w:sz w:val="18"/>
          <w:szCs w:val="18"/>
        </w:rPr>
        <w:t xml:space="preserve">Materials selection follows the portfolio’s three-criterion evidence logic (covalency vs. stoichiometry by XAS; EV vs. covalency; demonstrated switching at a noble-metal interface); all references of the underlying documents are individually verified against publisher records (see Literaturpruefung_2026-08-09 and Materialscreening_2026-08-09).</w:t>
      </w:r>
    </w:p>
    <w:p>
      <w:pPr>
        <w:pStyle w:val="Heading1"/>
        <w:spacing w:after="120" w:before="240"/>
      </w:pPr>
      <w:r>
        <w:t xml:space="preserve">4  Programme-adapted work plan</w:t>
      </w:r>
    </w:p>
    <w:p>
      <w:pPr>
        <w:spacing w:after="120"/>
      </w:pPr>
      <w:r>
        <w:t xml:space="preserve">Outgoing phase (months 1–24, Stanford): identical to the Lynen work programme WP1–WP3 of this folder. Return phase (months 25–36, Jülich/Aachen): European beamline campaigns (BESSY II/PETRA III), cross-class integration of the descriptor data into the map, publication of the extended dataset, submission of the group proposal; supervision and training plan per MSCA rules spanning both phases.</w:t>
      </w:r>
    </w:p>
    <w:p>
      <w:pPr>
        <w:pStyle w:val="Heading1"/>
        <w:spacing w:after="120" w:before="240"/>
      </w:pPr>
      <w:r>
        <w:t xml:space="preserve">5  Notes before submission</w:t>
      </w:r>
    </w:p>
    <w:p>
      <w:pPr>
        <w:spacing w:after="120"/>
      </w:pPr>
      <w:r>
        <w:rPr>
          <w:sz w:val="18"/>
          <w:szCs w:val="18"/>
        </w:rPr>
        <w:t xml:space="preserve">• Verify all bracketed programme details (rates, deadlines, current call conditions) against the funder’s current documentation. • Coordinate the proposal with Prof. Chueh and fix the German host institution (RWTH Aachen vs. FZ Jülich) – both required by all three programmes. • Only one of the postdoc programmes (Feodor Lynen, DAAD PRIME, Walter Benjamin, MSCA PF) will be pursued for this stay; the parallel drafts exist to compare formats, not for parallel submission – check each funder’s double-funding rules. • Manuscript placeholders [E4]/[P1] of the underlying documents apply here analogously.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2026-08-10T07:19:04.156Z</dcterms:created>
  <dcterms:modified xsi:type="dcterms:W3CDTF">2026-08-10T07:19:04.156Z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