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C413E8F" w14:textId="77777777" w:rsidR="00CB7745" w:rsidRDefault="00CB7745">
      <w:pPr>
        <w:pStyle w:val="NormalWeb"/>
        <w:jc w:val="right"/>
        <w:rPr>
          <w:rFonts w:ascii="Arial" w:hAnsi="Arial" w:cs="Arial"/>
          <w:color w:val="555555"/>
          <w:sz w:val="21"/>
          <w:szCs w:val="21"/>
        </w:rPr>
      </w:pPr>
      <w:r>
        <w:rPr>
          <w:rFonts w:ascii="Arial" w:hAnsi="Arial" w:cs="Arial"/>
          <w:color w:val="555555"/>
          <w:sz w:val="21"/>
          <w:szCs w:val="21"/>
        </w:rPr>
        <w:t>Alexander von Humboldt Foundation – Feodor Lynen Research Fellowship for Postdoctoral Researchers</w:t>
      </w:r>
    </w:p>
    <w:p w14:paraId="1E09F487" w14:textId="77777777" w:rsidR="00CB7745" w:rsidRDefault="00CB7745">
      <w:pPr>
        <w:pStyle w:val="NormalWeb"/>
        <w:rPr>
          <w:rFonts w:ascii="Arial" w:hAnsi="Arial" w:cs="Arial"/>
          <w:sz w:val="21"/>
          <w:szCs w:val="21"/>
        </w:rPr>
      </w:pPr>
      <w:r>
        <w:rPr>
          <w:rFonts w:ascii="Arial" w:hAnsi="Arial" w:cs="Arial"/>
          <w:sz w:val="21"/>
          <w:szCs w:val="21"/>
        </w:rPr>
        <w:t> </w:t>
      </w:r>
    </w:p>
    <w:p w14:paraId="7EF6AD31" w14:textId="77777777" w:rsidR="00CB7745" w:rsidRDefault="00CB7745">
      <w:pPr>
        <w:pStyle w:val="NormalWeb"/>
        <w:rPr>
          <w:rFonts w:ascii="Arial" w:hAnsi="Arial" w:cs="Arial"/>
          <w:sz w:val="21"/>
          <w:szCs w:val="21"/>
        </w:rPr>
      </w:pPr>
      <w:r>
        <w:rPr>
          <w:rFonts w:ascii="Arial" w:hAnsi="Arial" w:cs="Arial"/>
          <w:sz w:val="21"/>
          <w:szCs w:val="21"/>
        </w:rPr>
        <w:t> </w:t>
      </w:r>
    </w:p>
    <w:p w14:paraId="585F1BF2" w14:textId="77777777" w:rsidR="00CB7745" w:rsidRDefault="00CB7745">
      <w:pPr>
        <w:pStyle w:val="NormalWeb"/>
        <w:rPr>
          <w:rFonts w:ascii="Arial" w:hAnsi="Arial" w:cs="Arial"/>
          <w:sz w:val="21"/>
          <w:szCs w:val="21"/>
        </w:rPr>
      </w:pPr>
      <w:r>
        <w:rPr>
          <w:rFonts w:ascii="Arial" w:hAnsi="Arial" w:cs="Arial"/>
          <w:sz w:val="21"/>
          <w:szCs w:val="21"/>
        </w:rPr>
        <w:t> </w:t>
      </w:r>
    </w:p>
    <w:p w14:paraId="53C00986" w14:textId="77777777" w:rsidR="00CB7745" w:rsidRDefault="00CB7745">
      <w:pPr>
        <w:pStyle w:val="center"/>
        <w:spacing w:before="0" w:beforeAutospacing="0" w:after="140"/>
        <w:rPr>
          <w:rFonts w:ascii="Arial" w:hAnsi="Arial" w:cs="Arial"/>
          <w:sz w:val="30"/>
          <w:szCs w:val="30"/>
        </w:rPr>
      </w:pPr>
      <w:r>
        <w:rPr>
          <w:rFonts w:ascii="Arial" w:hAnsi="Arial" w:cs="Arial"/>
          <w:b/>
          <w:bCs/>
          <w:sz w:val="30"/>
          <w:szCs w:val="30"/>
        </w:rPr>
        <w:t>Application for a Feodor Lynen Research Fellowship</w:t>
      </w:r>
    </w:p>
    <w:p w14:paraId="093A4821" w14:textId="77777777" w:rsidR="00CB7745" w:rsidRDefault="00CB7745">
      <w:pPr>
        <w:pStyle w:val="NormalWeb"/>
        <w:rPr>
          <w:rFonts w:ascii="Arial" w:hAnsi="Arial" w:cs="Arial"/>
          <w:sz w:val="21"/>
          <w:szCs w:val="21"/>
        </w:rPr>
      </w:pPr>
      <w:r>
        <w:rPr>
          <w:rFonts w:ascii="Arial" w:hAnsi="Arial" w:cs="Arial"/>
          <w:sz w:val="21"/>
          <w:szCs w:val="21"/>
        </w:rPr>
        <w:t> </w:t>
      </w:r>
    </w:p>
    <w:p w14:paraId="1BEDC36D" w14:textId="77777777" w:rsidR="00CB7745" w:rsidRDefault="00CB7745">
      <w:pPr>
        <w:pStyle w:val="center"/>
        <w:spacing w:before="0" w:beforeAutospacing="0" w:after="140"/>
        <w:rPr>
          <w:rFonts w:ascii="Arial" w:hAnsi="Arial" w:cs="Arial"/>
          <w:sz w:val="26"/>
          <w:szCs w:val="26"/>
        </w:rPr>
      </w:pPr>
      <w:r>
        <w:rPr>
          <w:rFonts w:ascii="Arial" w:hAnsi="Arial" w:cs="Arial"/>
          <w:b/>
          <w:bCs/>
          <w:sz w:val="26"/>
          <w:szCs w:val="26"/>
        </w:rPr>
        <w:t>Covalency Descriptors for Interstitial-Oxygen Memristive Switching: La</w:t>
      </w:r>
      <w:r>
        <w:rPr>
          <w:rFonts w:ascii="Arial" w:hAnsi="Arial" w:cs="Arial"/>
          <w:b/>
          <w:bCs/>
          <w:sz w:val="26"/>
          <w:szCs w:val="26"/>
          <w:vertAlign w:val="subscript"/>
        </w:rPr>
        <w:t>2</w:t>
      </w:r>
      <w:r>
        <w:rPr>
          <w:rFonts w:ascii="Arial" w:hAnsi="Arial" w:cs="Arial"/>
          <w:b/>
          <w:bCs/>
          <w:sz w:val="26"/>
          <w:szCs w:val="26"/>
        </w:rPr>
        <w:t>NiO</w:t>
      </w:r>
      <w:r>
        <w:rPr>
          <w:rFonts w:ascii="Arial" w:hAnsi="Arial" w:cs="Arial"/>
          <w:b/>
          <w:bCs/>
          <w:sz w:val="26"/>
          <w:szCs w:val="26"/>
          <w:vertAlign w:val="subscript"/>
        </w:rPr>
        <w:t>4+δ</w:t>
      </w:r>
      <w:r>
        <w:rPr>
          <w:rFonts w:ascii="Arial" w:hAnsi="Arial" w:cs="Arial"/>
          <w:b/>
          <w:bCs/>
          <w:sz w:val="26"/>
          <w:szCs w:val="26"/>
        </w:rPr>
        <w:t xml:space="preserve"> and La</w:t>
      </w:r>
      <w:r>
        <w:rPr>
          <w:rFonts w:ascii="Arial" w:hAnsi="Arial" w:cs="Arial"/>
          <w:b/>
          <w:bCs/>
          <w:sz w:val="26"/>
          <w:szCs w:val="26"/>
          <w:vertAlign w:val="subscript"/>
        </w:rPr>
        <w:t>2-x</w:t>
      </w:r>
      <w:r>
        <w:rPr>
          <w:rFonts w:ascii="Arial" w:hAnsi="Arial" w:cs="Arial"/>
          <w:b/>
          <w:bCs/>
          <w:sz w:val="26"/>
          <w:szCs w:val="26"/>
        </w:rPr>
        <w:t>Sr</w:t>
      </w:r>
      <w:r>
        <w:rPr>
          <w:rFonts w:ascii="Arial" w:hAnsi="Arial" w:cs="Arial"/>
          <w:b/>
          <w:bCs/>
          <w:sz w:val="26"/>
          <w:szCs w:val="26"/>
          <w:vertAlign w:val="subscript"/>
        </w:rPr>
        <w:t>x</w:t>
      </w:r>
      <w:r>
        <w:rPr>
          <w:rFonts w:ascii="Arial" w:hAnsi="Arial" w:cs="Arial"/>
          <w:b/>
          <w:bCs/>
          <w:sz w:val="26"/>
          <w:szCs w:val="26"/>
        </w:rPr>
        <w:t>NiO</w:t>
      </w:r>
      <w:r>
        <w:rPr>
          <w:rFonts w:ascii="Arial" w:hAnsi="Arial" w:cs="Arial"/>
          <w:b/>
          <w:bCs/>
          <w:sz w:val="26"/>
          <w:szCs w:val="26"/>
          <w:vertAlign w:val="subscript"/>
        </w:rPr>
        <w:t>4</w:t>
      </w:r>
    </w:p>
    <w:p w14:paraId="0B6EF13C" w14:textId="77777777" w:rsidR="00CB7745" w:rsidRDefault="00CB7745">
      <w:pPr>
        <w:pStyle w:val="NormalWeb"/>
        <w:rPr>
          <w:rFonts w:ascii="Arial" w:hAnsi="Arial" w:cs="Arial"/>
          <w:sz w:val="21"/>
          <w:szCs w:val="21"/>
        </w:rPr>
      </w:pPr>
      <w:r>
        <w:rPr>
          <w:rFonts w:ascii="Arial" w:hAnsi="Arial" w:cs="Arial"/>
          <w:sz w:val="21"/>
          <w:szCs w:val="21"/>
        </w:rPr>
        <w:t> </w:t>
      </w:r>
    </w:p>
    <w:p w14:paraId="3A294CF6" w14:textId="77777777" w:rsidR="00CB7745" w:rsidRDefault="00CB7745">
      <w:pPr>
        <w:pStyle w:val="NormalWeb"/>
        <w:rPr>
          <w:rFonts w:ascii="Arial" w:hAnsi="Arial" w:cs="Arial"/>
          <w:sz w:val="21"/>
          <w:szCs w:val="21"/>
        </w:rPr>
      </w:pPr>
      <w:r>
        <w:rPr>
          <w:rFonts w:ascii="Arial" w:hAnsi="Arial" w:cs="Arial"/>
          <w:sz w:val="21"/>
          <w:szCs w:val="21"/>
        </w:rPr>
        <w:t> </w:t>
      </w:r>
    </w:p>
    <w:tbl>
      <w:tblPr>
        <w:tblW w:w="5000" w:type="pct"/>
        <w:tblCellMar>
          <w:top w:w="15" w:type="dxa"/>
          <w:left w:w="15" w:type="dxa"/>
          <w:bottom w:w="15" w:type="dxa"/>
          <w:right w:w="15" w:type="dxa"/>
        </w:tblCellMar>
        <w:tblLook w:val="04A0" w:firstRow="1" w:lastRow="0" w:firstColumn="1" w:lastColumn="0" w:noHBand="0" w:noVBand="1"/>
      </w:tblPr>
      <w:tblGrid>
        <w:gridCol w:w="2898"/>
        <w:gridCol w:w="6158"/>
      </w:tblGrid>
      <w:tr w:rsidR="00000000" w14:paraId="53C18AB5" w14:textId="77777777">
        <w:tc>
          <w:tcPr>
            <w:tcW w:w="1600" w:type="pct"/>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D7A3BC1" w14:textId="77777777" w:rsidR="00CB7745" w:rsidRDefault="00CB7745">
            <w:pPr>
              <w:spacing w:before="120" w:after="200"/>
              <w:rPr>
                <w:rFonts w:ascii="Arial" w:eastAsia="Times New Roman" w:hAnsi="Arial" w:cs="Arial"/>
                <w:sz w:val="19"/>
                <w:szCs w:val="19"/>
              </w:rPr>
            </w:pPr>
            <w:r>
              <w:rPr>
                <w:rFonts w:ascii="Arial" w:eastAsia="Times New Roman" w:hAnsi="Arial" w:cs="Arial"/>
                <w:b/>
                <w:bCs/>
                <w:sz w:val="19"/>
                <w:szCs w:val="19"/>
              </w:rPr>
              <w:t>Applicant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5533268" w14:textId="77777777" w:rsidR="00CB7745" w:rsidRDefault="00CB7745">
            <w:pPr>
              <w:spacing w:before="120" w:after="200"/>
              <w:rPr>
                <w:rFonts w:ascii="Arial" w:eastAsia="Times New Roman" w:hAnsi="Arial" w:cs="Arial"/>
                <w:sz w:val="19"/>
                <w:szCs w:val="19"/>
              </w:rPr>
            </w:pPr>
            <w:r>
              <w:rPr>
                <w:rFonts w:ascii="Arial" w:eastAsia="Times New Roman" w:hAnsi="Arial" w:cs="Arial"/>
                <w:sz w:val="19"/>
                <w:szCs w:val="19"/>
              </w:rPr>
              <w:t>Dr. Max Buczek, Postdoctoral Researcher, Peter Grünberg Institute (PGI-7), Forschungszentrum Jülich, Germany</w:t>
            </w:r>
          </w:p>
        </w:tc>
      </w:tr>
      <w:tr w:rsidR="00000000" w14:paraId="3AB41B5B"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2F3342B" w14:textId="77777777" w:rsidR="00CB7745" w:rsidRDefault="00CB7745">
            <w:pPr>
              <w:spacing w:before="120" w:after="200"/>
              <w:rPr>
                <w:rFonts w:ascii="Arial" w:eastAsia="Times New Roman" w:hAnsi="Arial" w:cs="Arial"/>
                <w:sz w:val="19"/>
                <w:szCs w:val="19"/>
              </w:rPr>
            </w:pPr>
            <w:r>
              <w:rPr>
                <w:rFonts w:ascii="Arial" w:eastAsia="Times New Roman" w:hAnsi="Arial" w:cs="Arial"/>
                <w:b/>
                <w:bCs/>
                <w:sz w:val="19"/>
                <w:szCs w:val="19"/>
              </w:rPr>
              <w:t>Host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7253D7A" w14:textId="77777777" w:rsidR="00CB7745" w:rsidRDefault="00CB7745">
            <w:pPr>
              <w:spacing w:before="120" w:after="200"/>
              <w:rPr>
                <w:rFonts w:ascii="Arial" w:eastAsia="Times New Roman" w:hAnsi="Arial" w:cs="Arial"/>
                <w:sz w:val="19"/>
                <w:szCs w:val="19"/>
              </w:rPr>
            </w:pPr>
            <w:r>
              <w:rPr>
                <w:rFonts w:ascii="Arial" w:eastAsia="Times New Roman" w:hAnsi="Arial" w:cs="Arial"/>
                <w:sz w:val="19"/>
                <w:szCs w:val="19"/>
              </w:rPr>
              <w:t xml:space="preserve">Prof. Dr. William C. Chueh, Department of Materials Science and Engineering, Stanford University, USA – </w:t>
            </w:r>
            <w:r>
              <w:rPr>
                <w:rFonts w:ascii="Arial" w:eastAsia="Times New Roman" w:hAnsi="Arial" w:cs="Arial"/>
                <w:sz w:val="19"/>
                <w:szCs w:val="19"/>
              </w:rPr>
              <w:t>Friedrich Wilhelm Bessel Research Award winner of the AvH Foundation (2021), member of the Humboldt Network</w:t>
            </w:r>
          </w:p>
        </w:tc>
      </w:tr>
      <w:tr w:rsidR="00000000" w14:paraId="7D05DA08"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A8A4814" w14:textId="77777777" w:rsidR="00CB7745" w:rsidRDefault="00CB7745">
            <w:pPr>
              <w:spacing w:before="120" w:after="200"/>
              <w:rPr>
                <w:rFonts w:ascii="Arial" w:eastAsia="Times New Roman" w:hAnsi="Arial" w:cs="Arial"/>
                <w:sz w:val="19"/>
                <w:szCs w:val="19"/>
              </w:rPr>
            </w:pPr>
            <w:r>
              <w:rPr>
                <w:rFonts w:ascii="Arial" w:eastAsia="Times New Roman" w:hAnsi="Arial" w:cs="Arial"/>
                <w:b/>
                <w:bCs/>
                <w:sz w:val="19"/>
                <w:szCs w:val="19"/>
              </w:rPr>
              <w:t>Host institution</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5FBEED3" w14:textId="77777777" w:rsidR="00CB7745" w:rsidRDefault="00CB7745">
            <w:pPr>
              <w:spacing w:before="120" w:after="200"/>
              <w:rPr>
                <w:rFonts w:ascii="Arial" w:eastAsia="Times New Roman" w:hAnsi="Arial" w:cs="Arial"/>
                <w:sz w:val="19"/>
                <w:szCs w:val="19"/>
              </w:rPr>
            </w:pPr>
            <w:r>
              <w:rPr>
                <w:rFonts w:ascii="Arial" w:eastAsia="Times New Roman" w:hAnsi="Arial" w:cs="Arial"/>
                <w:sz w:val="19"/>
                <w:szCs w:val="19"/>
              </w:rPr>
              <w:t>Stanford University / SLAC National Accelerator Laboratory (Stanford Synchrotron Radiation Lightsource, SSRL)</w:t>
            </w:r>
          </w:p>
        </w:tc>
      </w:tr>
      <w:tr w:rsidR="00000000" w14:paraId="5F18AC93"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48A6CC0" w14:textId="77777777" w:rsidR="00CB7745" w:rsidRDefault="00CB7745">
            <w:pPr>
              <w:spacing w:before="120" w:after="200"/>
              <w:rPr>
                <w:rFonts w:ascii="Arial" w:eastAsia="Times New Roman" w:hAnsi="Arial" w:cs="Arial"/>
                <w:sz w:val="19"/>
                <w:szCs w:val="19"/>
              </w:rPr>
            </w:pPr>
            <w:r>
              <w:rPr>
                <w:rFonts w:ascii="Arial" w:eastAsia="Times New Roman" w:hAnsi="Arial" w:cs="Arial"/>
                <w:b/>
                <w:bCs/>
                <w:sz w:val="19"/>
                <w:szCs w:val="19"/>
              </w:rPr>
              <w:t>Duration</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D7AE7BB" w14:textId="77777777" w:rsidR="00CB7745" w:rsidRDefault="00CB7745">
            <w:pPr>
              <w:spacing w:before="120" w:after="200"/>
              <w:rPr>
                <w:rFonts w:ascii="Arial" w:eastAsia="Times New Roman" w:hAnsi="Arial" w:cs="Arial"/>
                <w:sz w:val="19"/>
                <w:szCs w:val="19"/>
              </w:rPr>
            </w:pPr>
            <w:r>
              <w:rPr>
                <w:rFonts w:ascii="Arial" w:eastAsia="Times New Roman" w:hAnsi="Arial" w:cs="Arial"/>
                <w:sz w:val="19"/>
                <w:szCs w:val="19"/>
              </w:rPr>
              <w:t>24 months, starting [e.g. Q2/2027; fellowship must begin 2–12 months after the selection meeting]</w:t>
            </w:r>
          </w:p>
        </w:tc>
      </w:tr>
      <w:tr w:rsidR="00000000" w14:paraId="48239FC1"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0A173B8" w14:textId="77777777" w:rsidR="00CB7745" w:rsidRDefault="00CB7745">
            <w:pPr>
              <w:spacing w:before="120" w:after="200"/>
              <w:rPr>
                <w:rFonts w:ascii="Arial" w:eastAsia="Times New Roman" w:hAnsi="Arial" w:cs="Arial"/>
                <w:sz w:val="19"/>
                <w:szCs w:val="19"/>
              </w:rPr>
            </w:pPr>
            <w:r>
              <w:rPr>
                <w:rFonts w:ascii="Arial" w:eastAsia="Times New Roman" w:hAnsi="Arial" w:cs="Arial"/>
                <w:b/>
                <w:bCs/>
                <w:sz w:val="19"/>
                <w:szCs w:val="19"/>
              </w:rPr>
              <w:t>Programme line</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CE13E65" w14:textId="77777777" w:rsidR="00CB7745" w:rsidRDefault="00CB7745">
            <w:pPr>
              <w:spacing w:before="120" w:after="200"/>
              <w:rPr>
                <w:rFonts w:ascii="Arial" w:eastAsia="Times New Roman" w:hAnsi="Arial" w:cs="Arial"/>
                <w:sz w:val="19"/>
                <w:szCs w:val="19"/>
              </w:rPr>
            </w:pPr>
            <w:r>
              <w:rPr>
                <w:rFonts w:ascii="Arial" w:eastAsia="Times New Roman" w:hAnsi="Arial" w:cs="Arial"/>
                <w:sz w:val="19"/>
                <w:szCs w:val="19"/>
              </w:rPr>
              <w:t>Postdoctoral researchers (doctorate 2026, i.e. within the four-year window)</w:t>
            </w:r>
          </w:p>
        </w:tc>
      </w:tr>
      <w:tr w:rsidR="00000000" w14:paraId="79333755"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9B47AA5" w14:textId="77777777" w:rsidR="00CB7745" w:rsidRDefault="00CB7745">
            <w:pPr>
              <w:spacing w:before="120" w:after="200"/>
              <w:rPr>
                <w:rFonts w:ascii="Arial" w:eastAsia="Times New Roman" w:hAnsi="Arial" w:cs="Arial"/>
                <w:sz w:val="19"/>
                <w:szCs w:val="19"/>
              </w:rPr>
            </w:pPr>
            <w:r>
              <w:rPr>
                <w:rFonts w:ascii="Arial" w:eastAsia="Times New Roman" w:hAnsi="Arial" w:cs="Arial"/>
                <w:b/>
                <w:bCs/>
                <w:sz w:val="19"/>
                <w:szCs w:val="19"/>
              </w:rPr>
              <w:t>Targeted selection round</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BD1C304" w14:textId="77777777" w:rsidR="00CB7745" w:rsidRDefault="00CB7745">
            <w:pPr>
              <w:spacing w:before="120" w:after="200"/>
              <w:rPr>
                <w:rFonts w:ascii="Arial" w:eastAsia="Times New Roman" w:hAnsi="Arial" w:cs="Arial"/>
                <w:sz w:val="19"/>
                <w:szCs w:val="19"/>
              </w:rPr>
            </w:pPr>
            <w:r>
              <w:rPr>
                <w:rFonts w:ascii="Arial" w:eastAsia="Times New Roman" w:hAnsi="Arial" w:cs="Arial"/>
                <w:sz w:val="19"/>
                <w:szCs w:val="19"/>
              </w:rPr>
              <w:t>[February/June/October; submission recommended 4–7 months in advance]</w:t>
            </w:r>
          </w:p>
        </w:tc>
      </w:tr>
    </w:tbl>
    <w:p w14:paraId="3CDEB1A3" w14:textId="77777777" w:rsidR="00CB7745" w:rsidRDefault="00CB7745">
      <w:pPr>
        <w:pStyle w:val="NormalWeb"/>
        <w:rPr>
          <w:rFonts w:ascii="Arial" w:hAnsi="Arial" w:cs="Arial"/>
          <w:sz w:val="21"/>
          <w:szCs w:val="21"/>
        </w:rPr>
      </w:pPr>
      <w:r>
        <w:rPr>
          <w:rFonts w:ascii="Arial" w:hAnsi="Arial" w:cs="Arial"/>
          <w:sz w:val="21"/>
          <w:szCs w:val="21"/>
        </w:rPr>
        <w:t> </w:t>
      </w:r>
    </w:p>
    <w:p w14:paraId="46519A7F" w14:textId="77777777" w:rsidR="00CB7745" w:rsidRDefault="00CB7745">
      <w:pPr>
        <w:pStyle w:val="muted"/>
        <w:spacing w:before="0" w:beforeAutospacing="0" w:after="140"/>
        <w:rPr>
          <w:rFonts w:ascii="Arial" w:hAnsi="Arial" w:cs="Arial"/>
        </w:rPr>
      </w:pPr>
      <w:r>
        <w:rPr>
          <w:rFonts w:ascii="Arial" w:hAnsi="Arial" w:cs="Arial"/>
        </w:rPr>
        <w:t>Note: This document contains the research proposal (exposé, max. 5 pages according to AvH requirements) and a checklist of the further application documents. The project is the 24-month nucleus, tailored to a research stay abroad, of the applicant’s longer-term research programme (Emmy Noether/ERC perspective after returning to Germany); per AvH requirements, the exposé must be coordinated with the host before submission.</w:t>
      </w:r>
    </w:p>
    <w:p w14:paraId="43A0E3A3" w14:textId="77777777" w:rsidR="00CB7745" w:rsidRDefault="00CB7745">
      <w:pPr>
        <w:pStyle w:val="Heading1"/>
        <w:pageBreakBefore/>
        <w:rPr>
          <w:rFonts w:ascii="Arial" w:eastAsia="Times New Roman" w:hAnsi="Arial" w:cs="Arial"/>
        </w:rPr>
      </w:pPr>
      <w:r>
        <w:rPr>
          <w:rFonts w:ascii="Arial" w:eastAsia="Times New Roman" w:hAnsi="Arial" w:cs="Arial"/>
        </w:rPr>
        <w:lastRenderedPageBreak/>
        <w:t>Research Proposal (Exposé)</w:t>
      </w:r>
    </w:p>
    <w:p w14:paraId="0E49B477" w14:textId="77777777" w:rsidR="00CB7745" w:rsidRDefault="00CB7745">
      <w:pPr>
        <w:pStyle w:val="Heading2"/>
        <w:rPr>
          <w:rFonts w:ascii="Arial" w:eastAsia="Times New Roman" w:hAnsi="Arial" w:cs="Arial"/>
        </w:rPr>
      </w:pPr>
      <w:r>
        <w:rPr>
          <w:rFonts w:ascii="Arial" w:eastAsia="Times New Roman" w:hAnsi="Arial" w:cs="Arial"/>
        </w:rPr>
        <w:t>1  Research question and scientific significance</w:t>
      </w:r>
    </w:p>
    <w:p w14:paraId="3C9D0150" w14:textId="77777777" w:rsidR="00CB7745" w:rsidRDefault="00CB7745">
      <w:pPr>
        <w:pStyle w:val="NormalWeb"/>
        <w:rPr>
          <w:rFonts w:ascii="Arial" w:hAnsi="Arial" w:cs="Arial"/>
          <w:sz w:val="21"/>
          <w:szCs w:val="21"/>
        </w:rPr>
      </w:pPr>
      <w:r>
        <w:rPr>
          <w:rFonts w:ascii="Arial" w:hAnsi="Arial" w:cs="Arial"/>
          <w:sz w:val="21"/>
          <w:szCs w:val="21"/>
        </w:rPr>
        <w:t>Memristive devices based on the valence change mechanism (VCM) switch their resistance through field-driven creation and migration of oxygen vacancies (V</w:t>
      </w:r>
      <w:r>
        <w:rPr>
          <w:rFonts w:ascii="Arial" w:hAnsi="Arial" w:cs="Arial"/>
          <w:sz w:val="21"/>
          <w:szCs w:val="21"/>
          <w:vertAlign w:val="subscript"/>
        </w:rPr>
        <w:t>O</w:t>
      </w:r>
      <w:r>
        <w:rPr>
          <w:rFonts w:ascii="Arial" w:hAnsi="Arial" w:cs="Arial"/>
          <w:sz w:val="21"/>
          <w:szCs w:val="21"/>
        </w:rPr>
        <w:t>) [1–3]. The oxygen-vacancy formation energy (E</w:t>
      </w:r>
      <w:r>
        <w:rPr>
          <w:rFonts w:ascii="Arial" w:hAnsi="Arial" w:cs="Arial"/>
          <w:sz w:val="21"/>
          <w:szCs w:val="21"/>
          <w:vertAlign w:val="subscript"/>
        </w:rPr>
        <w:t>V</w:t>
      </w:r>
      <w:r>
        <w:rPr>
          <w:rFonts w:ascii="Arial" w:hAnsi="Arial" w:cs="Arial"/>
          <w:sz w:val="21"/>
          <w:szCs w:val="21"/>
        </w:rPr>
        <w:t>) enters all quantitative switching models exponentially [3, 4] – and yet it has never been measured systematically how E</w:t>
      </w:r>
      <w:r>
        <w:rPr>
          <w:rFonts w:ascii="Arial" w:hAnsi="Arial" w:cs="Arial"/>
          <w:sz w:val="21"/>
          <w:szCs w:val="21"/>
          <w:vertAlign w:val="subscript"/>
        </w:rPr>
        <w:t>V</w:t>
      </w:r>
      <w:r>
        <w:rPr>
          <w:rFonts w:ascii="Arial" w:hAnsi="Arial" w:cs="Arial"/>
          <w:sz w:val="21"/>
          <w:szCs w:val="21"/>
        </w:rPr>
        <w:t xml:space="preserve"> </w:t>
      </w:r>
      <w:r>
        <w:rPr>
          <w:rFonts w:ascii="Arial" w:hAnsi="Arial" w:cs="Arial"/>
          <w:sz w:val="21"/>
          <w:szCs w:val="21"/>
        </w:rPr>
        <w:t>determines the central figures of merit (ON/OFF ratio, forming voltage, retention). Energy research, by contrast, has quantitatively established that E</w:t>
      </w:r>
      <w:r>
        <w:rPr>
          <w:rFonts w:ascii="Arial" w:hAnsi="Arial" w:cs="Arial"/>
          <w:sz w:val="21"/>
          <w:szCs w:val="21"/>
          <w:vertAlign w:val="subscript"/>
        </w:rPr>
        <w:t>V</w:t>
      </w:r>
      <w:r>
        <w:rPr>
          <w:rFonts w:ascii="Arial" w:hAnsi="Arial" w:cs="Arial"/>
          <w:sz w:val="21"/>
          <w:szCs w:val="21"/>
        </w:rPr>
        <w:t xml:space="preserve"> in perovskites is controlled by the metal–oxygen covalency: the O-2p band centre scales linearly with E</w:t>
      </w:r>
      <w:r>
        <w:rPr>
          <w:rFonts w:ascii="Arial" w:hAnsi="Arial" w:cs="Arial"/>
          <w:sz w:val="21"/>
          <w:szCs w:val="21"/>
          <w:vertAlign w:val="subscript"/>
        </w:rPr>
        <w:t>V</w:t>
      </w:r>
      <w:r>
        <w:rPr>
          <w:rFonts w:ascii="Arial" w:hAnsi="Arial" w:cs="Arial"/>
          <w:sz w:val="21"/>
          <w:szCs w:val="21"/>
        </w:rPr>
        <w:t xml:space="preserve"> and serves as a descriptor for catalysis and oxygen transport [5–8]. My project connects these two worlds experimentally for the first time – using the Ruddlesden–Popper nickelate La</w:t>
      </w:r>
      <w:r>
        <w:rPr>
          <w:rFonts w:ascii="Arial" w:hAnsi="Arial" w:cs="Arial"/>
          <w:sz w:val="21"/>
          <w:szCs w:val="21"/>
          <w:vertAlign w:val="subscript"/>
        </w:rPr>
        <w:t>2</w:t>
      </w:r>
      <w:r>
        <w:rPr>
          <w:rFonts w:ascii="Arial" w:hAnsi="Arial" w:cs="Arial"/>
          <w:sz w:val="21"/>
          <w:szCs w:val="21"/>
        </w:rPr>
        <w:t>NiO</w:t>
      </w:r>
      <w:r>
        <w:rPr>
          <w:rFonts w:ascii="Arial" w:hAnsi="Arial" w:cs="Arial"/>
          <w:sz w:val="21"/>
          <w:szCs w:val="21"/>
          <w:vertAlign w:val="subscript"/>
        </w:rPr>
        <w:t>4+δ</w:t>
      </w:r>
      <w:r>
        <w:rPr>
          <w:rFonts w:ascii="Arial" w:hAnsi="Arial" w:cs="Arial"/>
          <w:sz w:val="21"/>
          <w:szCs w:val="21"/>
        </w:rPr>
        <w:t xml:space="preserve">, the one oxide family whose oxygen reservoir lies </w:t>
      </w:r>
      <w:r>
        <w:rPr>
          <w:rFonts w:ascii="Arial" w:hAnsi="Arial" w:cs="Arial"/>
          <w:i/>
          <w:iCs/>
          <w:sz w:val="21"/>
          <w:szCs w:val="21"/>
        </w:rPr>
        <w:t>inside</w:t>
      </w:r>
      <w:r>
        <w:rPr>
          <w:rFonts w:ascii="Arial" w:hAnsi="Arial" w:cs="Arial"/>
          <w:sz w:val="21"/>
          <w:szCs w:val="21"/>
        </w:rPr>
        <w:t xml:space="preserve"> </w:t>
      </w:r>
      <w:r>
        <w:rPr>
          <w:rFonts w:ascii="Arial" w:hAnsi="Arial" w:cs="Arial"/>
          <w:sz w:val="21"/>
          <w:szCs w:val="21"/>
        </w:rPr>
        <w:t>the material by construction, in the form of mobile interstitial oxygen.</w:t>
      </w:r>
    </w:p>
    <w:p w14:paraId="6E4829DC" w14:textId="77777777" w:rsidR="00CB7745" w:rsidRDefault="00CB7745">
      <w:pPr>
        <w:pStyle w:val="NormalWeb"/>
        <w:rPr>
          <w:rFonts w:ascii="Arial" w:hAnsi="Arial" w:cs="Arial"/>
          <w:sz w:val="21"/>
          <w:szCs w:val="21"/>
        </w:rPr>
      </w:pPr>
      <w:r>
        <w:rPr>
          <w:rFonts w:ascii="Arial" w:hAnsi="Arial" w:cs="Arial"/>
          <w:sz w:val="21"/>
          <w:szCs w:val="21"/>
        </w:rPr>
        <w:t>La</w:t>
      </w:r>
      <w:r>
        <w:rPr>
          <w:rFonts w:ascii="Arial" w:hAnsi="Arial" w:cs="Arial"/>
          <w:sz w:val="21"/>
          <w:szCs w:val="21"/>
          <w:vertAlign w:val="subscript"/>
        </w:rPr>
        <w:t>2</w:t>
      </w:r>
      <w:r>
        <w:rPr>
          <w:rFonts w:ascii="Arial" w:hAnsi="Arial" w:cs="Arial"/>
          <w:sz w:val="21"/>
          <w:szCs w:val="21"/>
        </w:rPr>
        <w:t>NiO</w:t>
      </w:r>
      <w:r>
        <w:rPr>
          <w:rFonts w:ascii="Arial" w:hAnsi="Arial" w:cs="Arial"/>
          <w:sz w:val="21"/>
          <w:szCs w:val="21"/>
          <w:vertAlign w:val="subscript"/>
        </w:rPr>
        <w:t>4+δ</w:t>
      </w:r>
      <w:r>
        <w:rPr>
          <w:rFonts w:ascii="Arial" w:hAnsi="Arial" w:cs="Arial"/>
          <w:sz w:val="21"/>
          <w:szCs w:val="21"/>
        </w:rPr>
        <w:t xml:space="preserve"> offers a unique twist on the descriptor idea. </w:t>
      </w:r>
      <w:r>
        <w:rPr>
          <w:rFonts w:ascii="Arial" w:hAnsi="Arial" w:cs="Arial"/>
          <w:b/>
          <w:bCs/>
          <w:sz w:val="21"/>
          <w:szCs w:val="21"/>
        </w:rPr>
        <w:t>(i) Two independent composition knobs:</w:t>
      </w:r>
      <w:r>
        <w:rPr>
          <w:rFonts w:ascii="Arial" w:hAnsi="Arial" w:cs="Arial"/>
          <w:sz w:val="21"/>
          <w:szCs w:val="21"/>
        </w:rPr>
        <w:t xml:space="preserve"> the interstitial oxygen content δ and Sr substitution (La</w:t>
      </w:r>
      <w:r>
        <w:rPr>
          <w:rFonts w:ascii="Arial" w:hAnsi="Arial" w:cs="Arial"/>
          <w:sz w:val="21"/>
          <w:szCs w:val="21"/>
          <w:vertAlign w:val="subscript"/>
        </w:rPr>
        <w:t>2-x</w:t>
      </w:r>
      <w:r>
        <w:rPr>
          <w:rFonts w:ascii="Arial" w:hAnsi="Arial" w:cs="Arial"/>
          <w:sz w:val="21"/>
          <w:szCs w:val="21"/>
        </w:rPr>
        <w:t>Sr</w:t>
      </w:r>
      <w:r>
        <w:rPr>
          <w:rFonts w:ascii="Arial" w:hAnsi="Arial" w:cs="Arial"/>
          <w:sz w:val="21"/>
          <w:szCs w:val="21"/>
          <w:vertAlign w:val="subscript"/>
        </w:rPr>
        <w:t>x</w:t>
      </w:r>
      <w:r>
        <w:rPr>
          <w:rFonts w:ascii="Arial" w:hAnsi="Arial" w:cs="Arial"/>
          <w:sz w:val="21"/>
          <w:szCs w:val="21"/>
        </w:rPr>
        <w:t>NiO</w:t>
      </w:r>
      <w:r>
        <w:rPr>
          <w:rFonts w:ascii="Arial" w:hAnsi="Arial" w:cs="Arial"/>
          <w:sz w:val="21"/>
          <w:szCs w:val="21"/>
          <w:vertAlign w:val="subscript"/>
        </w:rPr>
        <w:t>4</w:t>
      </w:r>
      <w:r>
        <w:rPr>
          <w:rFonts w:ascii="Arial" w:hAnsi="Arial" w:cs="Arial"/>
          <w:sz w:val="21"/>
          <w:szCs w:val="21"/>
        </w:rPr>
        <w:t xml:space="preserve">) both dope holes into the Ni–O planes. The electronic structure of the Sr series is canonical ligand-hole physics – polarisation-dependent O-1s X-ray absorption by Kuiper, Sawatzky and co-workers showed that the doped holes carry dominant O-2p character [9] – and δ </w:t>
      </w:r>
      <w:r>
        <w:rPr>
          <w:rFonts w:ascii="Arial" w:hAnsi="Arial" w:cs="Arial"/>
          <w:sz w:val="21"/>
          <w:szCs w:val="21"/>
        </w:rPr>
        <w:t xml:space="preserve">is quantifiable spectroscopically [11], so both descriptor axes are measurable. </w:t>
      </w:r>
      <w:r>
        <w:rPr>
          <w:rFonts w:ascii="Arial" w:hAnsi="Arial" w:cs="Arial"/>
          <w:b/>
          <w:bCs/>
          <w:sz w:val="21"/>
          <w:szCs w:val="21"/>
        </w:rPr>
        <w:t>(ii) Switching is demonstrated, including a composition series:</w:t>
      </w:r>
      <w:r>
        <w:rPr>
          <w:rFonts w:ascii="Arial" w:hAnsi="Arial" w:cs="Arial"/>
          <w:sz w:val="21"/>
          <w:szCs w:val="21"/>
        </w:rPr>
        <w:t xml:space="preserve"> La</w:t>
      </w:r>
      <w:r>
        <w:rPr>
          <w:rFonts w:ascii="Arial" w:hAnsi="Arial" w:cs="Arial"/>
          <w:sz w:val="21"/>
          <w:szCs w:val="21"/>
          <w:vertAlign w:val="subscript"/>
        </w:rPr>
        <w:t>2</w:t>
      </w:r>
      <w:r>
        <w:rPr>
          <w:rFonts w:ascii="Arial" w:hAnsi="Arial" w:cs="Arial"/>
          <w:sz w:val="21"/>
          <w:szCs w:val="21"/>
        </w:rPr>
        <w:t>NiO</w:t>
      </w:r>
      <w:r>
        <w:rPr>
          <w:rFonts w:ascii="Arial" w:hAnsi="Arial" w:cs="Arial"/>
          <w:sz w:val="21"/>
          <w:szCs w:val="21"/>
          <w:vertAlign w:val="subscript"/>
        </w:rPr>
        <w:t>4+δ</w:t>
      </w:r>
      <w:r>
        <w:rPr>
          <w:rFonts w:ascii="Arial" w:hAnsi="Arial" w:cs="Arial"/>
          <w:sz w:val="21"/>
          <w:szCs w:val="21"/>
        </w:rPr>
        <w:t xml:space="preserve"> devices switch forming-free and analogue [10]; a δ-series showed that the oxygen content itself selects the switching mechanism – filamentary for oxygen-poor, interface-type for oxygen-rich films [11]; and operando XANES has proven the valence-change mechanism in the nickelate [12]. </w:t>
      </w:r>
      <w:r>
        <w:rPr>
          <w:rFonts w:ascii="Arial" w:hAnsi="Arial" w:cs="Arial"/>
          <w:b/>
          <w:bCs/>
          <w:sz w:val="21"/>
          <w:szCs w:val="21"/>
        </w:rPr>
        <w:t>(iii) The decisive open question – and the high-gain core of this project:</w:t>
      </w:r>
      <w:r>
        <w:rPr>
          <w:rFonts w:ascii="Arial" w:hAnsi="Arial" w:cs="Arial"/>
          <w:sz w:val="21"/>
          <w:szCs w:val="21"/>
        </w:rPr>
        <w:t xml:space="preserve"> all published devices rely on a reactive TiN/TiN</w:t>
      </w:r>
      <w:r>
        <w:rPr>
          <w:rFonts w:ascii="Arial" w:hAnsi="Arial" w:cs="Arial"/>
          <w:sz w:val="21"/>
          <w:szCs w:val="21"/>
          <w:vertAlign w:val="subscript"/>
        </w:rPr>
        <w:t>x</w:t>
      </w:r>
      <w:r>
        <w:rPr>
          <w:rFonts w:ascii="Arial" w:hAnsi="Arial" w:cs="Arial"/>
          <w:sz w:val="21"/>
          <w:szCs w:val="21"/>
        </w:rPr>
        <w:t>O</w:t>
      </w:r>
      <w:r>
        <w:rPr>
          <w:rFonts w:ascii="Arial" w:hAnsi="Arial" w:cs="Arial"/>
          <w:sz w:val="21"/>
          <w:szCs w:val="21"/>
          <w:vertAlign w:val="subscript"/>
        </w:rPr>
        <w:t>y</w:t>
      </w:r>
      <w:r>
        <w:rPr>
          <w:rFonts w:ascii="Arial" w:hAnsi="Arial" w:cs="Arial"/>
          <w:sz w:val="21"/>
          <w:szCs w:val="21"/>
        </w:rPr>
        <w:t xml:space="preserve"> interlayer as the oxygen sink – the analogue of the reactive-electrode dominance known from perovskite devices [17, 18]; switching under inert or graphene electrodes – genuinely </w:t>
      </w:r>
      <w:r>
        <w:rPr>
          <w:rFonts w:ascii="Arial" w:hAnsi="Arial" w:cs="Arial"/>
          <w:i/>
          <w:iCs/>
          <w:sz w:val="21"/>
          <w:szCs w:val="21"/>
        </w:rPr>
        <w:t>interstitial-internal</w:t>
      </w:r>
      <w:r>
        <w:rPr>
          <w:rFonts w:ascii="Arial" w:hAnsi="Arial" w:cs="Arial"/>
          <w:sz w:val="21"/>
          <w:szCs w:val="21"/>
        </w:rPr>
        <w:t xml:space="preserve"> switching – has never been demonstrated (an explicit negative finding of my systematic literature analysis). If the interstitial reservoir can absorb and release the switched oxygen internally, La</w:t>
      </w:r>
      <w:r>
        <w:rPr>
          <w:rFonts w:ascii="Arial" w:hAnsi="Arial" w:cs="Arial"/>
          <w:sz w:val="21"/>
          <w:szCs w:val="21"/>
          <w:vertAlign w:val="subscript"/>
        </w:rPr>
        <w:t>2</w:t>
      </w:r>
      <w:r>
        <w:rPr>
          <w:rFonts w:ascii="Arial" w:hAnsi="Arial" w:cs="Arial"/>
          <w:sz w:val="21"/>
          <w:szCs w:val="21"/>
        </w:rPr>
        <w:t>NiO</w:t>
      </w:r>
      <w:r>
        <w:rPr>
          <w:rFonts w:ascii="Arial" w:hAnsi="Arial" w:cs="Arial"/>
          <w:sz w:val="21"/>
          <w:szCs w:val="21"/>
          <w:vertAlign w:val="subscript"/>
        </w:rPr>
        <w:t>4+δ</w:t>
      </w:r>
      <w:r>
        <w:rPr>
          <w:rFonts w:ascii="Arial" w:hAnsi="Arial" w:cs="Arial"/>
          <w:sz w:val="21"/>
          <w:szCs w:val="21"/>
        </w:rPr>
        <w:t xml:space="preserve"> </w:t>
      </w:r>
      <w:r>
        <w:rPr>
          <w:rFonts w:ascii="Arial" w:hAnsi="Arial" w:cs="Arial"/>
          <w:sz w:val="21"/>
          <w:szCs w:val="21"/>
        </w:rPr>
        <w:t xml:space="preserve">becomes the first memristor whose oxygen balance is intrinsic </w:t>
      </w:r>
      <w:r>
        <w:rPr>
          <w:rFonts w:ascii="Arial" w:hAnsi="Arial" w:cs="Arial"/>
          <w:i/>
          <w:iCs/>
          <w:sz w:val="21"/>
          <w:szCs w:val="21"/>
        </w:rPr>
        <w:t>by construction</w:t>
      </w:r>
      <w:r>
        <w:rPr>
          <w:rFonts w:ascii="Arial" w:hAnsi="Arial" w:cs="Arial"/>
          <w:sz w:val="21"/>
          <w:szCs w:val="21"/>
        </w:rPr>
        <w:t>, with photoelectron-transparent, gas-tight graphene electrodes [13, 14] providing both the seal and the spectroscopic window. My central hypothesis: the switching figures of merit are set by the measurable descriptor pair (covalency, δ) of the nickelate itself, not by electrode chemistry. The risk is managed by a decision gate (month 12): if inert-electrode switching does not materialise, the established TiN geometry [10, </w:t>
      </w:r>
      <w:r>
        <w:rPr>
          <w:rFonts w:ascii="Arial" w:hAnsi="Arial" w:cs="Arial"/>
          <w:sz w:val="21"/>
          <w:szCs w:val="21"/>
        </w:rPr>
        <w:t>11] combined with spectroscopic isolation of the nickelate contribution [12] carries the descriptor study to completion – the correlation question remains answerable either way.</w:t>
      </w:r>
    </w:p>
    <w:p w14:paraId="617AC7EB" w14:textId="77777777" w:rsidR="00CB7745" w:rsidRDefault="00CB7745">
      <w:pPr>
        <w:pStyle w:val="Heading2"/>
        <w:rPr>
          <w:rFonts w:ascii="Arial" w:eastAsia="Times New Roman" w:hAnsi="Arial" w:cs="Arial"/>
        </w:rPr>
      </w:pPr>
      <w:r>
        <w:rPr>
          <w:rFonts w:ascii="Arial" w:eastAsia="Times New Roman" w:hAnsi="Arial" w:cs="Arial"/>
        </w:rPr>
        <w:t>2  Why the Chueh group at Stanford is the ideal place</w:t>
      </w:r>
    </w:p>
    <w:p w14:paraId="3E546AE6" w14:textId="77777777" w:rsidR="00CB7745" w:rsidRDefault="00CB7745">
      <w:pPr>
        <w:pStyle w:val="NormalWeb"/>
        <w:rPr>
          <w:rFonts w:ascii="Arial" w:hAnsi="Arial" w:cs="Arial"/>
          <w:sz w:val="21"/>
          <w:szCs w:val="21"/>
        </w:rPr>
      </w:pPr>
      <w:r>
        <w:rPr>
          <w:rFonts w:ascii="Arial" w:hAnsi="Arial" w:cs="Arial"/>
          <w:sz w:val="21"/>
          <w:szCs w:val="21"/>
        </w:rPr>
        <w:t>The group of Prof. William Chueh is a world leader in exactly the combination this project requires: defect chemistry and non-stoichiometry of redox-active oxides, quantitative operando X-ray absorption spectroscopy at the in-house Stanford Synchrotron Radiation Lightsource (SSRL), and redox chemistry of epitaxial perovskite thin films [19–21]. The group’</w:t>
      </w:r>
      <w:r>
        <w:rPr>
          <w:rFonts w:ascii="Arial" w:hAnsi="Arial" w:cs="Arial"/>
          <w:sz w:val="21"/>
          <w:szCs w:val="21"/>
        </w:rPr>
        <w:t>s seminal work on the redox activity of oxygen anions in oxygen-deficient perovskites [20] is a direct methodological blueprint for my project; the Nature Materials study on atomically defined LaNiO</w:t>
      </w:r>
      <w:r>
        <w:rPr>
          <w:rFonts w:ascii="Arial" w:hAnsi="Arial" w:cs="Arial"/>
          <w:sz w:val="21"/>
          <w:szCs w:val="21"/>
          <w:vertAlign w:val="subscript"/>
        </w:rPr>
        <w:t>3</w:t>
      </w:r>
      <w:r>
        <w:rPr>
          <w:rFonts w:ascii="Arial" w:hAnsi="Arial" w:cs="Arial"/>
          <w:sz w:val="21"/>
          <w:szCs w:val="21"/>
        </w:rPr>
        <w:t xml:space="preserve"> surfaces [21] – with Christoph Baeumer from the Jülich school as first author – </w:t>
      </w:r>
      <w:r>
        <w:rPr>
          <w:rFonts w:ascii="Arial" w:hAnsi="Arial" w:cs="Arial"/>
          <w:sz w:val="21"/>
          <w:szCs w:val="21"/>
        </w:rPr>
        <w:t>furthermore demonstrates that the group routinely masters epitaxial perovskite model systems of the type proposed here and successfully integrates German postdocs. Direct SSRL access makes XAS campaigns plannable that in Europe cost months of lead time through competitive single proposals. Complementarily, I contribute the device side, from which the Stanford environment profits in turn: PLD process development, memristive device processing and statistically robust switching characterisation from five years</w:t>
      </w:r>
      <w:r>
        <w:rPr>
          <w:rFonts w:ascii="Arial" w:hAnsi="Arial" w:cs="Arial"/>
          <w:sz w:val="21"/>
          <w:szCs w:val="21"/>
        </w:rPr>
        <w:t xml:space="preserve"> at the Peter Gr</w:t>
      </w:r>
      <w:r>
        <w:rPr>
          <w:rFonts w:ascii="Arial" w:hAnsi="Arial" w:cs="Arial"/>
          <w:sz w:val="21"/>
          <w:szCs w:val="21"/>
        </w:rPr>
        <w:t>ünberg Institute (PGI-7, group of Prof. Dittmann) [E1–E3]. The constellation is thus a genuine two-way transfer of knowledge. For complementary epitaxial growth questions, the environment of the Stanford Institute for Materials and Energy Sciences (SIMES) at SLAC is available. As a Bessel Research Award winner (2021), Prof. Chueh is a member of the Humboldt Network and has repeatedly hosted German postdocs – the host eligibility required by the programme is given.</w:t>
      </w:r>
    </w:p>
    <w:p w14:paraId="4795BBF1" w14:textId="77777777" w:rsidR="00CB7745" w:rsidRDefault="00CB7745">
      <w:pPr>
        <w:pStyle w:val="Heading2"/>
        <w:rPr>
          <w:rFonts w:ascii="Arial" w:eastAsia="Times New Roman" w:hAnsi="Arial" w:cs="Arial"/>
        </w:rPr>
      </w:pPr>
      <w:r>
        <w:rPr>
          <w:rFonts w:ascii="Arial" w:eastAsia="Times New Roman" w:hAnsi="Arial" w:cs="Arial"/>
        </w:rPr>
        <w:t>3  Work programme (24 months)</w:t>
      </w:r>
    </w:p>
    <w:p w14:paraId="5657E3D7" w14:textId="77777777" w:rsidR="00CB7745" w:rsidRDefault="00CB7745">
      <w:pPr>
        <w:pStyle w:val="Heading3"/>
        <w:rPr>
          <w:rFonts w:ascii="Arial" w:eastAsia="Times New Roman" w:hAnsi="Arial" w:cs="Arial"/>
        </w:rPr>
      </w:pPr>
      <w:r>
        <w:rPr>
          <w:rFonts w:ascii="Arial" w:eastAsia="Times New Roman" w:hAnsi="Arial" w:cs="Arial"/>
        </w:rPr>
        <w:t xml:space="preserve">WP1 – </w:t>
      </w:r>
      <w:r>
        <w:rPr>
          <w:rFonts w:ascii="Arial" w:eastAsia="Times New Roman" w:hAnsi="Arial" w:cs="Arial"/>
        </w:rPr>
        <w:t>Synthesis and descriptor measurement (months 1–10)</w:t>
      </w:r>
    </w:p>
    <w:p w14:paraId="04CCA067" w14:textId="77777777" w:rsidR="00CB7745" w:rsidRDefault="00CB7745">
      <w:pPr>
        <w:pStyle w:val="NormalWeb"/>
        <w:rPr>
          <w:rFonts w:ascii="Arial" w:hAnsi="Arial" w:cs="Arial"/>
          <w:sz w:val="21"/>
          <w:szCs w:val="21"/>
        </w:rPr>
      </w:pPr>
      <w:r>
        <w:rPr>
          <w:rFonts w:ascii="Arial" w:hAnsi="Arial" w:cs="Arial"/>
          <w:sz w:val="21"/>
          <w:szCs w:val="21"/>
        </w:rPr>
        <w:t>PLD growth of epitaxial La</w:t>
      </w:r>
      <w:r>
        <w:rPr>
          <w:rFonts w:ascii="Arial" w:hAnsi="Arial" w:cs="Arial"/>
          <w:sz w:val="21"/>
          <w:szCs w:val="21"/>
          <w:vertAlign w:val="subscript"/>
        </w:rPr>
        <w:t>2</w:t>
      </w:r>
      <w:r>
        <w:rPr>
          <w:rFonts w:ascii="Arial" w:hAnsi="Arial" w:cs="Arial"/>
          <w:sz w:val="21"/>
          <w:szCs w:val="21"/>
        </w:rPr>
        <w:t>NiO</w:t>
      </w:r>
      <w:r>
        <w:rPr>
          <w:rFonts w:ascii="Arial" w:hAnsi="Arial" w:cs="Arial"/>
          <w:sz w:val="21"/>
          <w:szCs w:val="21"/>
          <w:vertAlign w:val="subscript"/>
        </w:rPr>
        <w:t>4+δ</w:t>
      </w:r>
      <w:r>
        <w:rPr>
          <w:rFonts w:ascii="Arial" w:hAnsi="Arial" w:cs="Arial"/>
          <w:sz w:val="21"/>
          <w:szCs w:val="21"/>
        </w:rPr>
        <w:t xml:space="preserve"> films on SrTiO</w:t>
      </w:r>
      <w:r>
        <w:rPr>
          <w:rFonts w:ascii="Arial" w:hAnsi="Arial" w:cs="Arial"/>
          <w:sz w:val="21"/>
          <w:szCs w:val="21"/>
          <w:vertAlign w:val="subscript"/>
        </w:rPr>
        <w:t>3</w:t>
      </w:r>
      <w:r>
        <w:rPr>
          <w:rFonts w:ascii="Arial" w:hAnsi="Arial" w:cs="Arial"/>
          <w:sz w:val="21"/>
          <w:szCs w:val="21"/>
        </w:rPr>
        <w:t>/Nb:SrTiO</w:t>
      </w:r>
      <w:r>
        <w:rPr>
          <w:rFonts w:ascii="Arial" w:hAnsi="Arial" w:cs="Arial"/>
          <w:sz w:val="21"/>
          <w:szCs w:val="21"/>
          <w:vertAlign w:val="subscript"/>
        </w:rPr>
        <w:t>3</w:t>
      </w:r>
      <w:r>
        <w:rPr>
          <w:rFonts w:ascii="Arial" w:hAnsi="Arial" w:cs="Arial"/>
          <w:sz w:val="21"/>
          <w:szCs w:val="21"/>
        </w:rPr>
        <w:t>; δ-control via post-annealing protocols (Ar vs. O</w:t>
      </w:r>
      <w:r>
        <w:rPr>
          <w:rFonts w:ascii="Arial" w:hAnsi="Arial" w:cs="Arial"/>
          <w:sz w:val="21"/>
          <w:szCs w:val="21"/>
          <w:vertAlign w:val="subscript"/>
        </w:rPr>
        <w:t>2</w:t>
      </w:r>
      <w:r>
        <w:rPr>
          <w:rFonts w:ascii="Arial" w:hAnsi="Arial" w:cs="Arial"/>
          <w:sz w:val="21"/>
          <w:szCs w:val="21"/>
        </w:rPr>
        <w:t>), quantified spectroscopically following [11]; in addition a La</w:t>
      </w:r>
      <w:r>
        <w:rPr>
          <w:rFonts w:ascii="Arial" w:hAnsi="Arial" w:cs="Arial"/>
          <w:sz w:val="21"/>
          <w:szCs w:val="21"/>
          <w:vertAlign w:val="subscript"/>
        </w:rPr>
        <w:t>2-x</w:t>
      </w:r>
      <w:r>
        <w:rPr>
          <w:rFonts w:ascii="Arial" w:hAnsi="Arial" w:cs="Arial"/>
          <w:sz w:val="21"/>
          <w:szCs w:val="21"/>
        </w:rPr>
        <w:t>Sr</w:t>
      </w:r>
      <w:r>
        <w:rPr>
          <w:rFonts w:ascii="Arial" w:hAnsi="Arial" w:cs="Arial"/>
          <w:sz w:val="21"/>
          <w:szCs w:val="21"/>
          <w:vertAlign w:val="subscript"/>
        </w:rPr>
        <w:t>x</w:t>
      </w:r>
      <w:r>
        <w:rPr>
          <w:rFonts w:ascii="Arial" w:hAnsi="Arial" w:cs="Arial"/>
          <w:sz w:val="21"/>
          <w:szCs w:val="21"/>
        </w:rPr>
        <w:t>NiO</w:t>
      </w:r>
      <w:r>
        <w:rPr>
          <w:rFonts w:ascii="Arial" w:hAnsi="Arial" w:cs="Arial"/>
          <w:sz w:val="21"/>
          <w:szCs w:val="21"/>
          <w:vertAlign w:val="subscript"/>
        </w:rPr>
        <w:t>4</w:t>
      </w:r>
      <w:r>
        <w:rPr>
          <w:rFonts w:ascii="Arial" w:hAnsi="Arial" w:cs="Arial"/>
          <w:sz w:val="21"/>
          <w:szCs w:val="21"/>
        </w:rPr>
        <w:t xml:space="preserve"> series (x = 0–0.4) as the second descriptor axis; structural validation (XRD, AFM), stoichiometry (XPS). First XAS campaign at SSRL: Ni-L</w:t>
      </w:r>
      <w:r>
        <w:rPr>
          <w:rFonts w:ascii="Arial" w:hAnsi="Arial" w:cs="Arial"/>
          <w:sz w:val="21"/>
          <w:szCs w:val="21"/>
          <w:vertAlign w:val="subscript"/>
        </w:rPr>
        <w:t>2,3</w:t>
      </w:r>
      <w:r>
        <w:rPr>
          <w:rFonts w:ascii="Arial" w:hAnsi="Arial" w:cs="Arial"/>
          <w:sz w:val="21"/>
          <w:szCs w:val="21"/>
        </w:rPr>
        <w:t xml:space="preserve"> and O-K analysis following [9, 15, 16] for every (δ, x) point → </w:t>
      </w:r>
      <w:r>
        <w:rPr>
          <w:rFonts w:ascii="Arial" w:hAnsi="Arial" w:cs="Arial"/>
          <w:sz w:val="21"/>
          <w:szCs w:val="21"/>
        </w:rPr>
        <w:t xml:space="preserve">experimental descriptor set (covalency, hole character, interstitial content). </w:t>
      </w:r>
      <w:r>
        <w:rPr>
          <w:rFonts w:ascii="Arial" w:hAnsi="Arial" w:cs="Arial"/>
          <w:i/>
          <w:iCs/>
          <w:sz w:val="21"/>
          <w:szCs w:val="21"/>
        </w:rPr>
        <w:t>Milestone M1 (month 10): validated sample matrix with complete descriptor set.</w:t>
      </w:r>
    </w:p>
    <w:p w14:paraId="3932351C" w14:textId="77777777" w:rsidR="00CB7745" w:rsidRDefault="00CB7745">
      <w:pPr>
        <w:pStyle w:val="Heading3"/>
        <w:rPr>
          <w:rFonts w:ascii="Arial" w:eastAsia="Times New Roman" w:hAnsi="Arial" w:cs="Arial"/>
        </w:rPr>
      </w:pPr>
      <w:r>
        <w:rPr>
          <w:rFonts w:ascii="Arial" w:eastAsia="Times New Roman" w:hAnsi="Arial" w:cs="Arial"/>
        </w:rPr>
        <w:t>WP2 – Devices: from the TiN benchmark to intrinsic switching (months 6–18)</w:t>
      </w:r>
    </w:p>
    <w:p w14:paraId="562C34A8" w14:textId="77777777" w:rsidR="00CB7745" w:rsidRDefault="00CB7745">
      <w:pPr>
        <w:pStyle w:val="NormalWeb"/>
        <w:rPr>
          <w:rFonts w:ascii="Arial" w:hAnsi="Arial" w:cs="Arial"/>
          <w:sz w:val="21"/>
          <w:szCs w:val="21"/>
        </w:rPr>
      </w:pPr>
      <w:r>
        <w:rPr>
          <w:rFonts w:ascii="Arial" w:hAnsi="Arial" w:cs="Arial"/>
          <w:sz w:val="21"/>
          <w:szCs w:val="21"/>
        </w:rPr>
        <w:t xml:space="preserve">Three electrode flavours, photolithographically processed with ≥ 30 nominally identical cells each: (i) the established TiN geometry as benchmark [10, 11]; (ii) inert Pt electrodes; (iii) graphene-sealed cells – gas-tight and photoelectron-transparent [13, 14] – </w:t>
      </w:r>
      <w:r>
        <w:rPr>
          <w:rFonts w:ascii="Arial" w:hAnsi="Arial" w:cs="Arial"/>
          <w:sz w:val="21"/>
          <w:szCs w:val="21"/>
        </w:rPr>
        <w:t xml:space="preserve">testing whether the interstitial reservoir sustains switching without any reactive sink. </w:t>
      </w:r>
      <w:r>
        <w:rPr>
          <w:rFonts w:ascii="Arial" w:hAnsi="Arial" w:cs="Arial"/>
          <w:b/>
          <w:bCs/>
          <w:sz w:val="21"/>
          <w:szCs w:val="21"/>
        </w:rPr>
        <w:t>Decision gate (month 12):</w:t>
      </w:r>
      <w:r>
        <w:rPr>
          <w:rFonts w:ascii="Arial" w:hAnsi="Arial" w:cs="Arial"/>
          <w:sz w:val="21"/>
          <w:szCs w:val="21"/>
        </w:rPr>
        <w:t xml:space="preserve"> continue with the intrinsic geometries if switching is demonstrated, otherwise carry the descriptor correlation on the benchmark geometry with spectroscopic isolation of the nickelate contribution [12]. Quasistatic and pulsed characterisation under the statistics protocol established in my doctorate. </w:t>
      </w:r>
      <w:r>
        <w:rPr>
          <w:rFonts w:ascii="Arial" w:hAnsi="Arial" w:cs="Arial"/>
          <w:i/>
          <w:iCs/>
          <w:sz w:val="21"/>
          <w:szCs w:val="21"/>
        </w:rPr>
        <w:t>Milestone M2 (month 18): switching figures of merit across the (δ, x) matrix.</w:t>
      </w:r>
    </w:p>
    <w:p w14:paraId="78ED07CA" w14:textId="77777777" w:rsidR="00CB7745" w:rsidRDefault="00CB7745">
      <w:pPr>
        <w:pStyle w:val="Heading3"/>
        <w:rPr>
          <w:rFonts w:ascii="Arial" w:eastAsia="Times New Roman" w:hAnsi="Arial" w:cs="Arial"/>
        </w:rPr>
      </w:pPr>
      <w:r>
        <w:rPr>
          <w:rFonts w:ascii="Arial" w:eastAsia="Times New Roman" w:hAnsi="Arial" w:cs="Arial"/>
        </w:rPr>
        <w:t xml:space="preserve">WP3 – </w:t>
      </w:r>
      <w:r>
        <w:rPr>
          <w:rFonts w:ascii="Arial" w:eastAsia="Times New Roman" w:hAnsi="Arial" w:cs="Arial"/>
        </w:rPr>
        <w:t>Correlation, operando validation and publication (months 16–24)</w:t>
      </w:r>
    </w:p>
    <w:p w14:paraId="3850CCC4" w14:textId="77777777" w:rsidR="00CB7745" w:rsidRDefault="00CB7745">
      <w:pPr>
        <w:pStyle w:val="NormalWeb"/>
        <w:rPr>
          <w:rFonts w:ascii="Arial" w:hAnsi="Arial" w:cs="Arial"/>
          <w:sz w:val="21"/>
          <w:szCs w:val="21"/>
        </w:rPr>
      </w:pPr>
      <w:r>
        <w:rPr>
          <w:rFonts w:ascii="Arial" w:hAnsi="Arial" w:cs="Arial"/>
          <w:sz w:val="21"/>
          <w:szCs w:val="21"/>
        </w:rPr>
        <w:t xml:space="preserve">Correlation analysis descriptors (covalency, δ) ↔ switching metrics, referenced against generic descriptor models [5–8]. Second SSRL campaign: XAS on switched cells (ex-situ before/after, operando through graphene if the intrinsic geometry succeeds) to verify oxygen redistribution within the nickelate. Publication of the first descriptor-resolved study of interstitial-oxygen memristive switching; dataset released following FAIR principles. </w:t>
      </w:r>
      <w:r>
        <w:rPr>
          <w:rFonts w:ascii="Arial" w:hAnsi="Arial" w:cs="Arial"/>
          <w:i/>
          <w:iCs/>
          <w:sz w:val="21"/>
          <w:szCs w:val="21"/>
        </w:rPr>
        <w:t>Milestone M3 (month 24): submitted publication(s), public dataset.</w:t>
      </w:r>
    </w:p>
    <w:p w14:paraId="0ECC42C3" w14:textId="77777777" w:rsidR="00CB7745" w:rsidRDefault="00CB7745">
      <w:pPr>
        <w:pStyle w:val="Heading2"/>
        <w:rPr>
          <w:rFonts w:ascii="Arial" w:eastAsia="Times New Roman" w:hAnsi="Arial" w:cs="Arial"/>
        </w:rPr>
      </w:pPr>
      <w:r>
        <w:rPr>
          <w:rFonts w:ascii="Arial" w:eastAsia="Times New Roman" w:hAnsi="Arial" w:cs="Arial"/>
        </w:rPr>
        <w:t>4  Timeline</w:t>
      </w:r>
    </w:p>
    <w:tbl>
      <w:tblPr>
        <w:tblW w:w="5000" w:type="pct"/>
        <w:tblCellMar>
          <w:top w:w="15" w:type="dxa"/>
          <w:left w:w="15" w:type="dxa"/>
          <w:bottom w:w="15" w:type="dxa"/>
          <w:right w:w="15" w:type="dxa"/>
        </w:tblCellMar>
        <w:tblLook w:val="04A0" w:firstRow="1" w:lastRow="0" w:firstColumn="1" w:lastColumn="0" w:noHBand="0" w:noVBand="1"/>
      </w:tblPr>
      <w:tblGrid>
        <w:gridCol w:w="3623"/>
        <w:gridCol w:w="680"/>
        <w:gridCol w:w="679"/>
        <w:gridCol w:w="679"/>
        <w:gridCol w:w="679"/>
        <w:gridCol w:w="679"/>
        <w:gridCol w:w="679"/>
        <w:gridCol w:w="679"/>
        <w:gridCol w:w="679"/>
      </w:tblGrid>
      <w:tr w:rsidR="00000000" w14:paraId="61C2C7D9" w14:textId="77777777">
        <w:tc>
          <w:tcPr>
            <w:tcW w:w="2000" w:type="pct"/>
            <w:tcBorders>
              <w:top w:val="single" w:sz="6" w:space="0" w:color="999999"/>
              <w:left w:val="single" w:sz="6" w:space="0" w:color="999999"/>
              <w:bottom w:val="single" w:sz="6" w:space="0" w:color="999999"/>
              <w:right w:val="single" w:sz="6" w:space="0" w:color="999999"/>
            </w:tcBorders>
            <w:shd w:val="clear" w:color="auto" w:fill="E7F0EA"/>
            <w:tcMar>
              <w:top w:w="60" w:type="dxa"/>
              <w:left w:w="100" w:type="dxa"/>
              <w:bottom w:w="60" w:type="dxa"/>
              <w:right w:w="100" w:type="dxa"/>
            </w:tcMar>
            <w:hideMark/>
          </w:tcPr>
          <w:p w14:paraId="4D29F839" w14:textId="77777777" w:rsidR="00CB7745" w:rsidRDefault="00CB7745">
            <w:pPr>
              <w:spacing w:before="120" w:after="200"/>
              <w:rPr>
                <w:rFonts w:ascii="Arial" w:eastAsia="Times New Roman" w:hAnsi="Arial" w:cs="Arial"/>
                <w:b/>
                <w:bCs/>
                <w:sz w:val="19"/>
                <w:szCs w:val="19"/>
              </w:rPr>
            </w:pPr>
            <w:r>
              <w:rPr>
                <w:rFonts w:ascii="Arial" w:eastAsia="Times New Roman" w:hAnsi="Arial" w:cs="Arial"/>
                <w:b/>
                <w:bCs/>
                <w:sz w:val="19"/>
                <w:szCs w:val="19"/>
              </w:rPr>
              <w:t>Work package</w:t>
            </w:r>
          </w:p>
        </w:tc>
        <w:tc>
          <w:tcPr>
            <w:tcW w:w="0" w:type="auto"/>
            <w:tcBorders>
              <w:top w:val="single" w:sz="6" w:space="0" w:color="999999"/>
              <w:left w:val="single" w:sz="6" w:space="0" w:color="999999"/>
              <w:bottom w:val="single" w:sz="6" w:space="0" w:color="999999"/>
              <w:right w:val="single" w:sz="6" w:space="0" w:color="999999"/>
            </w:tcBorders>
            <w:shd w:val="clear" w:color="auto" w:fill="E7F0EA"/>
            <w:tcMar>
              <w:top w:w="60" w:type="dxa"/>
              <w:left w:w="100" w:type="dxa"/>
              <w:bottom w:w="60" w:type="dxa"/>
              <w:right w:w="100" w:type="dxa"/>
            </w:tcMar>
            <w:hideMark/>
          </w:tcPr>
          <w:p w14:paraId="5E248430" w14:textId="77777777" w:rsidR="00CB7745" w:rsidRDefault="00CB7745">
            <w:pPr>
              <w:spacing w:before="120" w:after="200"/>
              <w:rPr>
                <w:rFonts w:ascii="Arial" w:eastAsia="Times New Roman" w:hAnsi="Arial" w:cs="Arial"/>
                <w:b/>
                <w:bCs/>
                <w:sz w:val="19"/>
                <w:szCs w:val="19"/>
              </w:rPr>
            </w:pPr>
            <w:r>
              <w:rPr>
                <w:rFonts w:ascii="Arial" w:eastAsia="Times New Roman" w:hAnsi="Arial" w:cs="Arial"/>
                <w:b/>
                <w:bCs/>
                <w:sz w:val="19"/>
                <w:szCs w:val="19"/>
              </w:rPr>
              <w:t>Q1</w:t>
            </w:r>
          </w:p>
        </w:tc>
        <w:tc>
          <w:tcPr>
            <w:tcW w:w="0" w:type="auto"/>
            <w:tcBorders>
              <w:top w:val="single" w:sz="6" w:space="0" w:color="999999"/>
              <w:left w:val="single" w:sz="6" w:space="0" w:color="999999"/>
              <w:bottom w:val="single" w:sz="6" w:space="0" w:color="999999"/>
              <w:right w:val="single" w:sz="6" w:space="0" w:color="999999"/>
            </w:tcBorders>
            <w:shd w:val="clear" w:color="auto" w:fill="E7F0EA"/>
            <w:tcMar>
              <w:top w:w="60" w:type="dxa"/>
              <w:left w:w="100" w:type="dxa"/>
              <w:bottom w:w="60" w:type="dxa"/>
              <w:right w:w="100" w:type="dxa"/>
            </w:tcMar>
            <w:hideMark/>
          </w:tcPr>
          <w:p w14:paraId="39F00B57" w14:textId="77777777" w:rsidR="00CB7745" w:rsidRDefault="00CB7745">
            <w:pPr>
              <w:spacing w:before="120" w:after="200"/>
              <w:rPr>
                <w:rFonts w:ascii="Arial" w:eastAsia="Times New Roman" w:hAnsi="Arial" w:cs="Arial"/>
                <w:b/>
                <w:bCs/>
                <w:sz w:val="19"/>
                <w:szCs w:val="19"/>
              </w:rPr>
            </w:pPr>
            <w:r>
              <w:rPr>
                <w:rFonts w:ascii="Arial" w:eastAsia="Times New Roman" w:hAnsi="Arial" w:cs="Arial"/>
                <w:b/>
                <w:bCs/>
                <w:sz w:val="19"/>
                <w:szCs w:val="19"/>
              </w:rPr>
              <w:t>Q2</w:t>
            </w:r>
          </w:p>
        </w:tc>
        <w:tc>
          <w:tcPr>
            <w:tcW w:w="0" w:type="auto"/>
            <w:tcBorders>
              <w:top w:val="single" w:sz="6" w:space="0" w:color="999999"/>
              <w:left w:val="single" w:sz="6" w:space="0" w:color="999999"/>
              <w:bottom w:val="single" w:sz="6" w:space="0" w:color="999999"/>
              <w:right w:val="single" w:sz="6" w:space="0" w:color="999999"/>
            </w:tcBorders>
            <w:shd w:val="clear" w:color="auto" w:fill="E7F0EA"/>
            <w:tcMar>
              <w:top w:w="60" w:type="dxa"/>
              <w:left w:w="100" w:type="dxa"/>
              <w:bottom w:w="60" w:type="dxa"/>
              <w:right w:w="100" w:type="dxa"/>
            </w:tcMar>
            <w:hideMark/>
          </w:tcPr>
          <w:p w14:paraId="48EFE3A5" w14:textId="77777777" w:rsidR="00CB7745" w:rsidRDefault="00CB7745">
            <w:pPr>
              <w:spacing w:before="120" w:after="200"/>
              <w:rPr>
                <w:rFonts w:ascii="Arial" w:eastAsia="Times New Roman" w:hAnsi="Arial" w:cs="Arial"/>
                <w:b/>
                <w:bCs/>
                <w:sz w:val="19"/>
                <w:szCs w:val="19"/>
              </w:rPr>
            </w:pPr>
            <w:r>
              <w:rPr>
                <w:rFonts w:ascii="Arial" w:eastAsia="Times New Roman" w:hAnsi="Arial" w:cs="Arial"/>
                <w:b/>
                <w:bCs/>
                <w:sz w:val="19"/>
                <w:szCs w:val="19"/>
              </w:rPr>
              <w:t>Q3</w:t>
            </w:r>
          </w:p>
        </w:tc>
        <w:tc>
          <w:tcPr>
            <w:tcW w:w="0" w:type="auto"/>
            <w:tcBorders>
              <w:top w:val="single" w:sz="6" w:space="0" w:color="999999"/>
              <w:left w:val="single" w:sz="6" w:space="0" w:color="999999"/>
              <w:bottom w:val="single" w:sz="6" w:space="0" w:color="999999"/>
              <w:right w:val="single" w:sz="6" w:space="0" w:color="999999"/>
            </w:tcBorders>
            <w:shd w:val="clear" w:color="auto" w:fill="E7F0EA"/>
            <w:tcMar>
              <w:top w:w="60" w:type="dxa"/>
              <w:left w:w="100" w:type="dxa"/>
              <w:bottom w:w="60" w:type="dxa"/>
              <w:right w:w="100" w:type="dxa"/>
            </w:tcMar>
            <w:hideMark/>
          </w:tcPr>
          <w:p w14:paraId="35FCFF05" w14:textId="77777777" w:rsidR="00CB7745" w:rsidRDefault="00CB7745">
            <w:pPr>
              <w:spacing w:before="120" w:after="200"/>
              <w:rPr>
                <w:rFonts w:ascii="Arial" w:eastAsia="Times New Roman" w:hAnsi="Arial" w:cs="Arial"/>
                <w:b/>
                <w:bCs/>
                <w:sz w:val="19"/>
                <w:szCs w:val="19"/>
              </w:rPr>
            </w:pPr>
            <w:r>
              <w:rPr>
                <w:rFonts w:ascii="Arial" w:eastAsia="Times New Roman" w:hAnsi="Arial" w:cs="Arial"/>
                <w:b/>
                <w:bCs/>
                <w:sz w:val="19"/>
                <w:szCs w:val="19"/>
              </w:rPr>
              <w:t>Q4</w:t>
            </w:r>
          </w:p>
        </w:tc>
        <w:tc>
          <w:tcPr>
            <w:tcW w:w="0" w:type="auto"/>
            <w:tcBorders>
              <w:top w:val="single" w:sz="6" w:space="0" w:color="999999"/>
              <w:left w:val="single" w:sz="6" w:space="0" w:color="999999"/>
              <w:bottom w:val="single" w:sz="6" w:space="0" w:color="999999"/>
              <w:right w:val="single" w:sz="6" w:space="0" w:color="999999"/>
            </w:tcBorders>
            <w:shd w:val="clear" w:color="auto" w:fill="E7F0EA"/>
            <w:tcMar>
              <w:top w:w="60" w:type="dxa"/>
              <w:left w:w="100" w:type="dxa"/>
              <w:bottom w:w="60" w:type="dxa"/>
              <w:right w:w="100" w:type="dxa"/>
            </w:tcMar>
            <w:hideMark/>
          </w:tcPr>
          <w:p w14:paraId="45D020A2" w14:textId="77777777" w:rsidR="00CB7745" w:rsidRDefault="00CB7745">
            <w:pPr>
              <w:spacing w:before="120" w:after="200"/>
              <w:rPr>
                <w:rFonts w:ascii="Arial" w:eastAsia="Times New Roman" w:hAnsi="Arial" w:cs="Arial"/>
                <w:b/>
                <w:bCs/>
                <w:sz w:val="19"/>
                <w:szCs w:val="19"/>
              </w:rPr>
            </w:pPr>
            <w:r>
              <w:rPr>
                <w:rFonts w:ascii="Arial" w:eastAsia="Times New Roman" w:hAnsi="Arial" w:cs="Arial"/>
                <w:b/>
                <w:bCs/>
                <w:sz w:val="19"/>
                <w:szCs w:val="19"/>
              </w:rPr>
              <w:t>Q5</w:t>
            </w:r>
          </w:p>
        </w:tc>
        <w:tc>
          <w:tcPr>
            <w:tcW w:w="0" w:type="auto"/>
            <w:tcBorders>
              <w:top w:val="single" w:sz="6" w:space="0" w:color="999999"/>
              <w:left w:val="single" w:sz="6" w:space="0" w:color="999999"/>
              <w:bottom w:val="single" w:sz="6" w:space="0" w:color="999999"/>
              <w:right w:val="single" w:sz="6" w:space="0" w:color="999999"/>
            </w:tcBorders>
            <w:shd w:val="clear" w:color="auto" w:fill="E7F0EA"/>
            <w:tcMar>
              <w:top w:w="60" w:type="dxa"/>
              <w:left w:w="100" w:type="dxa"/>
              <w:bottom w:w="60" w:type="dxa"/>
              <w:right w:w="100" w:type="dxa"/>
            </w:tcMar>
            <w:hideMark/>
          </w:tcPr>
          <w:p w14:paraId="5C80BB12" w14:textId="77777777" w:rsidR="00CB7745" w:rsidRDefault="00CB7745">
            <w:pPr>
              <w:spacing w:before="120" w:after="200"/>
              <w:rPr>
                <w:rFonts w:ascii="Arial" w:eastAsia="Times New Roman" w:hAnsi="Arial" w:cs="Arial"/>
                <w:b/>
                <w:bCs/>
                <w:sz w:val="19"/>
                <w:szCs w:val="19"/>
              </w:rPr>
            </w:pPr>
            <w:r>
              <w:rPr>
                <w:rFonts w:ascii="Arial" w:eastAsia="Times New Roman" w:hAnsi="Arial" w:cs="Arial"/>
                <w:b/>
                <w:bCs/>
                <w:sz w:val="19"/>
                <w:szCs w:val="19"/>
              </w:rPr>
              <w:t>Q6</w:t>
            </w:r>
          </w:p>
        </w:tc>
        <w:tc>
          <w:tcPr>
            <w:tcW w:w="0" w:type="auto"/>
            <w:tcBorders>
              <w:top w:val="single" w:sz="6" w:space="0" w:color="999999"/>
              <w:left w:val="single" w:sz="6" w:space="0" w:color="999999"/>
              <w:bottom w:val="single" w:sz="6" w:space="0" w:color="999999"/>
              <w:right w:val="single" w:sz="6" w:space="0" w:color="999999"/>
            </w:tcBorders>
            <w:shd w:val="clear" w:color="auto" w:fill="E7F0EA"/>
            <w:tcMar>
              <w:top w:w="60" w:type="dxa"/>
              <w:left w:w="100" w:type="dxa"/>
              <w:bottom w:w="60" w:type="dxa"/>
              <w:right w:w="100" w:type="dxa"/>
            </w:tcMar>
            <w:hideMark/>
          </w:tcPr>
          <w:p w14:paraId="519581AC" w14:textId="77777777" w:rsidR="00CB7745" w:rsidRDefault="00CB7745">
            <w:pPr>
              <w:spacing w:before="120" w:after="200"/>
              <w:rPr>
                <w:rFonts w:ascii="Arial" w:eastAsia="Times New Roman" w:hAnsi="Arial" w:cs="Arial"/>
                <w:b/>
                <w:bCs/>
                <w:sz w:val="19"/>
                <w:szCs w:val="19"/>
              </w:rPr>
            </w:pPr>
            <w:r>
              <w:rPr>
                <w:rFonts w:ascii="Arial" w:eastAsia="Times New Roman" w:hAnsi="Arial" w:cs="Arial"/>
                <w:b/>
                <w:bCs/>
                <w:sz w:val="19"/>
                <w:szCs w:val="19"/>
              </w:rPr>
              <w:t>Q7</w:t>
            </w:r>
          </w:p>
        </w:tc>
        <w:tc>
          <w:tcPr>
            <w:tcW w:w="0" w:type="auto"/>
            <w:tcBorders>
              <w:top w:val="single" w:sz="6" w:space="0" w:color="999999"/>
              <w:left w:val="single" w:sz="6" w:space="0" w:color="999999"/>
              <w:bottom w:val="single" w:sz="6" w:space="0" w:color="999999"/>
              <w:right w:val="single" w:sz="6" w:space="0" w:color="999999"/>
            </w:tcBorders>
            <w:shd w:val="clear" w:color="auto" w:fill="E7F0EA"/>
            <w:tcMar>
              <w:top w:w="60" w:type="dxa"/>
              <w:left w:w="100" w:type="dxa"/>
              <w:bottom w:w="60" w:type="dxa"/>
              <w:right w:w="100" w:type="dxa"/>
            </w:tcMar>
            <w:hideMark/>
          </w:tcPr>
          <w:p w14:paraId="6F9C7F0B" w14:textId="77777777" w:rsidR="00CB7745" w:rsidRDefault="00CB7745">
            <w:pPr>
              <w:spacing w:before="120" w:after="200"/>
              <w:rPr>
                <w:rFonts w:ascii="Arial" w:eastAsia="Times New Roman" w:hAnsi="Arial" w:cs="Arial"/>
                <w:b/>
                <w:bCs/>
                <w:sz w:val="19"/>
                <w:szCs w:val="19"/>
              </w:rPr>
            </w:pPr>
            <w:r>
              <w:rPr>
                <w:rFonts w:ascii="Arial" w:eastAsia="Times New Roman" w:hAnsi="Arial" w:cs="Arial"/>
                <w:b/>
                <w:bCs/>
                <w:sz w:val="19"/>
                <w:szCs w:val="19"/>
              </w:rPr>
              <w:t>Q8</w:t>
            </w:r>
          </w:p>
        </w:tc>
      </w:tr>
      <w:tr w:rsidR="00000000" w14:paraId="281083F0"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879BD9B" w14:textId="77777777" w:rsidR="00CB7745" w:rsidRDefault="00CB7745">
            <w:pPr>
              <w:spacing w:before="120" w:after="200"/>
              <w:rPr>
                <w:rFonts w:ascii="Arial" w:eastAsia="Times New Roman" w:hAnsi="Arial" w:cs="Arial"/>
                <w:sz w:val="19"/>
                <w:szCs w:val="19"/>
              </w:rPr>
            </w:pPr>
            <w:r>
              <w:rPr>
                <w:rFonts w:ascii="Arial" w:eastAsia="Times New Roman" w:hAnsi="Arial" w:cs="Arial"/>
                <w:sz w:val="19"/>
                <w:szCs w:val="19"/>
              </w:rPr>
              <w:t>WP1 Synthesis + XAS descriptors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16B9AC1" w14:textId="77777777" w:rsidR="00CB7745" w:rsidRDefault="00CB7745">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81CC7D6" w14:textId="77777777" w:rsidR="00CB7745" w:rsidRDefault="00CB7745">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32B41E5" w14:textId="77777777" w:rsidR="00CB7745" w:rsidRDefault="00CB7745">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D8BD047" w14:textId="77777777" w:rsidR="00CB7745" w:rsidRDefault="00CB7745">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7C1DE5A" w14:textId="77777777" w:rsidR="00CB7745" w:rsidRDefault="00CB7745">
            <w:pPr>
              <w:spacing w:before="120" w:after="200"/>
              <w:jc w:val="center"/>
              <w:rPr>
                <w:rFonts w:ascii="Arial" w:eastAsia="Times New Roman" w:hAnsi="Arial" w:cs="Arial"/>
                <w:sz w:val="19"/>
                <w:szCs w:val="19"/>
              </w:rPr>
            </w:pP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37C0320" w14:textId="77777777" w:rsidR="00CB7745" w:rsidRDefault="00CB7745">
            <w:pPr>
              <w:spacing w:before="120" w:after="200"/>
              <w:jc w:val="center"/>
              <w:rPr>
                <w:rFonts w:eastAsia="Times New Roman"/>
                <w:sz w:val="20"/>
                <w:szCs w:val="20"/>
              </w:rPr>
            </w:pP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790DA0F" w14:textId="77777777" w:rsidR="00CB7745" w:rsidRDefault="00CB7745">
            <w:pPr>
              <w:spacing w:before="120" w:after="200"/>
              <w:jc w:val="center"/>
              <w:rPr>
                <w:rFonts w:eastAsia="Times New Roman"/>
                <w:sz w:val="20"/>
                <w:szCs w:val="20"/>
              </w:rPr>
            </w:pP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B0A5FF9" w14:textId="77777777" w:rsidR="00CB7745" w:rsidRDefault="00CB7745">
            <w:pPr>
              <w:spacing w:before="120" w:after="200"/>
              <w:jc w:val="center"/>
              <w:rPr>
                <w:rFonts w:eastAsia="Times New Roman"/>
                <w:sz w:val="20"/>
                <w:szCs w:val="20"/>
              </w:rPr>
            </w:pPr>
          </w:p>
        </w:tc>
      </w:tr>
      <w:tr w:rsidR="00000000" w14:paraId="1AC7DA87"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CA255AC" w14:textId="77777777" w:rsidR="00CB7745" w:rsidRDefault="00CB7745">
            <w:pPr>
              <w:spacing w:before="120" w:after="200"/>
              <w:rPr>
                <w:rFonts w:ascii="Arial" w:eastAsia="Times New Roman" w:hAnsi="Arial" w:cs="Arial"/>
                <w:sz w:val="19"/>
                <w:szCs w:val="19"/>
              </w:rPr>
            </w:pPr>
            <w:r>
              <w:rPr>
                <w:rFonts w:ascii="Arial" w:eastAsia="Times New Roman" w:hAnsi="Arial" w:cs="Arial"/>
                <w:sz w:val="19"/>
                <w:szCs w:val="19"/>
              </w:rPr>
              <w:t>WP2 Devices + switching statistics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ABD65E7" w14:textId="77777777" w:rsidR="00CB7745" w:rsidRDefault="00CB7745">
            <w:pPr>
              <w:spacing w:before="120" w:after="200"/>
              <w:rPr>
                <w:rFonts w:ascii="Arial" w:eastAsia="Times New Roman" w:hAnsi="Arial" w:cs="Arial"/>
                <w:sz w:val="19"/>
                <w:szCs w:val="19"/>
              </w:rPr>
            </w:pP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EFB0E28" w14:textId="77777777" w:rsidR="00CB7745" w:rsidRDefault="00CB7745">
            <w:pPr>
              <w:spacing w:before="120" w:after="200"/>
              <w:jc w:val="center"/>
              <w:rPr>
                <w:rFonts w:eastAsia="Times New Roman"/>
                <w:sz w:val="20"/>
                <w:szCs w:val="20"/>
              </w:rPr>
            </w:pP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05AFA0F" w14:textId="77777777" w:rsidR="00CB7745" w:rsidRDefault="00CB7745">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D37F016" w14:textId="77777777" w:rsidR="00CB7745" w:rsidRDefault="00CB7745">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6023F47" w14:textId="77777777" w:rsidR="00CB7745" w:rsidRDefault="00CB7745">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F4264FB" w14:textId="77777777" w:rsidR="00CB7745" w:rsidRDefault="00CB7745">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128B106" w14:textId="77777777" w:rsidR="00CB7745" w:rsidRDefault="00CB7745">
            <w:pPr>
              <w:spacing w:before="120" w:after="200"/>
              <w:jc w:val="center"/>
              <w:rPr>
                <w:rFonts w:ascii="Arial" w:eastAsia="Times New Roman" w:hAnsi="Arial" w:cs="Arial"/>
                <w:sz w:val="19"/>
                <w:szCs w:val="19"/>
              </w:rPr>
            </w:pP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11C03BB" w14:textId="77777777" w:rsidR="00CB7745" w:rsidRDefault="00CB7745">
            <w:pPr>
              <w:spacing w:before="120" w:after="200"/>
              <w:jc w:val="center"/>
              <w:rPr>
                <w:rFonts w:eastAsia="Times New Roman"/>
                <w:sz w:val="20"/>
                <w:szCs w:val="20"/>
              </w:rPr>
            </w:pPr>
          </w:p>
        </w:tc>
      </w:tr>
      <w:tr w:rsidR="00000000" w14:paraId="34121EAD"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0172C5D" w14:textId="77777777" w:rsidR="00CB7745" w:rsidRDefault="00CB7745">
            <w:pPr>
              <w:spacing w:before="120" w:after="200"/>
              <w:rPr>
                <w:rFonts w:ascii="Arial" w:eastAsia="Times New Roman" w:hAnsi="Arial" w:cs="Arial"/>
                <w:sz w:val="19"/>
                <w:szCs w:val="19"/>
              </w:rPr>
            </w:pPr>
            <w:r>
              <w:rPr>
                <w:rFonts w:ascii="Arial" w:eastAsia="Times New Roman" w:hAnsi="Arial" w:cs="Arial"/>
                <w:sz w:val="19"/>
                <w:szCs w:val="19"/>
              </w:rPr>
              <w:t>WP3 Correlation + operando + publication</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40D8B8F" w14:textId="77777777" w:rsidR="00CB7745" w:rsidRDefault="00CB7745">
            <w:pPr>
              <w:spacing w:before="120" w:after="200"/>
              <w:rPr>
                <w:rFonts w:ascii="Arial" w:eastAsia="Times New Roman" w:hAnsi="Arial" w:cs="Arial"/>
                <w:sz w:val="19"/>
                <w:szCs w:val="19"/>
              </w:rPr>
            </w:pP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6AFA106" w14:textId="77777777" w:rsidR="00CB7745" w:rsidRDefault="00CB7745">
            <w:pPr>
              <w:spacing w:before="120" w:after="200"/>
              <w:jc w:val="center"/>
              <w:rPr>
                <w:rFonts w:eastAsia="Times New Roman"/>
                <w:sz w:val="20"/>
                <w:szCs w:val="20"/>
              </w:rPr>
            </w:pP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AC153E3" w14:textId="77777777" w:rsidR="00CB7745" w:rsidRDefault="00CB7745">
            <w:pPr>
              <w:spacing w:before="120" w:after="200"/>
              <w:jc w:val="center"/>
              <w:rPr>
                <w:rFonts w:eastAsia="Times New Roman"/>
                <w:sz w:val="20"/>
                <w:szCs w:val="20"/>
              </w:rPr>
            </w:pP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5BC2AFE" w14:textId="77777777" w:rsidR="00CB7745" w:rsidRDefault="00CB7745">
            <w:pPr>
              <w:spacing w:before="120" w:after="200"/>
              <w:jc w:val="center"/>
              <w:rPr>
                <w:rFonts w:eastAsia="Times New Roman"/>
                <w:sz w:val="20"/>
                <w:szCs w:val="20"/>
              </w:rPr>
            </w:pP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ECA321A" w14:textId="77777777" w:rsidR="00CB7745" w:rsidRDefault="00CB7745">
            <w:pPr>
              <w:spacing w:before="120" w:after="200"/>
              <w:jc w:val="center"/>
              <w:rPr>
                <w:rFonts w:eastAsia="Times New Roman"/>
                <w:sz w:val="20"/>
                <w:szCs w:val="20"/>
              </w:rPr>
            </w:pP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DF11BDD" w14:textId="77777777" w:rsidR="00CB7745" w:rsidRDefault="00CB7745">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5C6B00D" w14:textId="77777777" w:rsidR="00CB7745" w:rsidRDefault="00CB7745">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25C9022" w14:textId="77777777" w:rsidR="00CB7745" w:rsidRDefault="00CB7745">
            <w:pPr>
              <w:spacing w:before="120" w:after="200"/>
              <w:jc w:val="center"/>
              <w:rPr>
                <w:rFonts w:ascii="Arial" w:eastAsia="Times New Roman" w:hAnsi="Arial" w:cs="Arial"/>
                <w:sz w:val="19"/>
                <w:szCs w:val="19"/>
              </w:rPr>
            </w:pPr>
            <w:r>
              <w:rPr>
                <w:rFonts w:ascii="Arial" w:eastAsia="Times New Roman" w:hAnsi="Arial" w:cs="Arial"/>
                <w:sz w:val="19"/>
                <w:szCs w:val="19"/>
              </w:rPr>
              <w:t>■</w:t>
            </w:r>
          </w:p>
        </w:tc>
      </w:tr>
    </w:tbl>
    <w:p w14:paraId="362FA0C7" w14:textId="77777777" w:rsidR="00CB7745" w:rsidRDefault="00CB7745">
      <w:pPr>
        <w:pStyle w:val="Heading2"/>
        <w:rPr>
          <w:rFonts w:ascii="Arial" w:eastAsia="Times New Roman" w:hAnsi="Arial" w:cs="Arial"/>
        </w:rPr>
      </w:pPr>
      <w:r>
        <w:rPr>
          <w:rFonts w:ascii="Arial" w:eastAsia="Times New Roman" w:hAnsi="Arial" w:cs="Arial"/>
        </w:rPr>
        <w:t>5  Career perspective and return strategy</w:t>
      </w:r>
    </w:p>
    <w:p w14:paraId="5C37B92C" w14:textId="77777777" w:rsidR="00CB7745" w:rsidRDefault="00CB7745">
      <w:pPr>
        <w:pStyle w:val="NormalWeb"/>
        <w:rPr>
          <w:rFonts w:ascii="Arial" w:hAnsi="Arial" w:cs="Arial"/>
          <w:sz w:val="21"/>
          <w:szCs w:val="21"/>
        </w:rPr>
      </w:pPr>
      <w:r>
        <w:rPr>
          <w:rFonts w:ascii="Arial" w:hAnsi="Arial" w:cs="Arial"/>
          <w:sz w:val="21"/>
          <w:szCs w:val="21"/>
        </w:rPr>
        <w:t xml:space="preserve">The project is the deliberate building block between my doctorate (memristive devices, PLD, switching statistics) and my longer-term goal of establishing my own junior research group in Germany on descriptor-based materials development for memristive oxides (Emmy Noether proposal in preparation; ERC Starting Grant as an alternative). The stay with Prof. Chueh closes the one competence gap of my profile – quantitative synchrotron XAS and defect thermodynamics – </w:t>
      </w:r>
      <w:r>
        <w:rPr>
          <w:rFonts w:ascii="Arial" w:hAnsi="Arial" w:cs="Arial"/>
          <w:sz w:val="21"/>
          <w:szCs w:val="21"/>
        </w:rPr>
        <w:t>and at the same time delivers the empirical foundation (the descriptor-resolved La</w:t>
      </w:r>
      <w:r>
        <w:rPr>
          <w:rFonts w:ascii="Arial" w:hAnsi="Arial" w:cs="Arial"/>
          <w:sz w:val="21"/>
          <w:szCs w:val="21"/>
          <w:vertAlign w:val="subscript"/>
        </w:rPr>
        <w:t>2</w:t>
      </w:r>
      <w:r>
        <w:rPr>
          <w:rFonts w:ascii="Arial" w:hAnsi="Arial" w:cs="Arial"/>
          <w:sz w:val="21"/>
          <w:szCs w:val="21"/>
        </w:rPr>
        <w:t>NiO</w:t>
      </w:r>
      <w:r>
        <w:rPr>
          <w:rFonts w:ascii="Arial" w:hAnsi="Arial" w:cs="Arial"/>
          <w:sz w:val="21"/>
          <w:szCs w:val="21"/>
          <w:vertAlign w:val="subscript"/>
        </w:rPr>
        <w:t>4+δ</w:t>
      </w:r>
      <w:r>
        <w:rPr>
          <w:rFonts w:ascii="Arial" w:hAnsi="Arial" w:cs="Arial"/>
          <w:sz w:val="21"/>
          <w:szCs w:val="21"/>
        </w:rPr>
        <w:t xml:space="preserve"> dataset, and potentially the first intrinsically switching interstitial-oxygen memristor) for the larger programme of a “treasure map” </w:t>
      </w:r>
      <w:r>
        <w:rPr>
          <w:rFonts w:ascii="Arial" w:hAnsi="Arial" w:cs="Arial"/>
          <w:sz w:val="21"/>
          <w:szCs w:val="21"/>
        </w:rPr>
        <w:t>of memristive oxides in analogy to the bonding-descriptor maps of Wuttig et al. [22]. The subsequent group programme then extends the methodology to the perovskite vacancy families (manganites, ferrites, cobaltites), placing interstitial- and vacancy-mediated switching on one common descriptor map. The return is concretely planned: reintegration into the German oxide-electronics environment (FZ Jü</w:t>
      </w:r>
      <w:r>
        <w:rPr>
          <w:rFonts w:ascii="Arial" w:hAnsi="Arial" w:cs="Arial"/>
          <w:sz w:val="21"/>
          <w:szCs w:val="21"/>
        </w:rPr>
        <w:t>lich/RWTH Aachen, JARA), supported by the Feodor Lynen Return Fellowship, with submission of the group proposal during the final year of the stay. The Stanford/SSRL collaboration built up abroad will be continued as the transatlantic bridge of the future group.</w:t>
      </w:r>
    </w:p>
    <w:p w14:paraId="60C7C6BE" w14:textId="77777777" w:rsidR="00CB7745" w:rsidRDefault="00CB7745">
      <w:pPr>
        <w:pStyle w:val="Heading2"/>
        <w:rPr>
          <w:rFonts w:ascii="Arial" w:eastAsia="Times New Roman" w:hAnsi="Arial" w:cs="Arial"/>
        </w:rPr>
      </w:pPr>
      <w:r>
        <w:rPr>
          <w:rFonts w:ascii="Arial" w:eastAsia="Times New Roman" w:hAnsi="Arial" w:cs="Arial"/>
        </w:rPr>
        <w:t>6  References</w:t>
      </w:r>
    </w:p>
    <w:p w14:paraId="6B20473B" w14:textId="77777777" w:rsidR="00CB7745" w:rsidRDefault="00CB7745">
      <w:pPr>
        <w:spacing w:after="60"/>
        <w:ind w:hanging="480"/>
        <w:divId w:val="2074693967"/>
        <w:rPr>
          <w:rFonts w:ascii="Arial" w:hAnsi="Arial" w:cs="Arial"/>
          <w:sz w:val="18"/>
          <w:szCs w:val="18"/>
        </w:rPr>
      </w:pPr>
      <w:r>
        <w:rPr>
          <w:rFonts w:ascii="Arial" w:hAnsi="Arial" w:cs="Arial"/>
          <w:sz w:val="18"/>
          <w:szCs w:val="18"/>
        </w:rPr>
        <w:t>[1] R. Waser, M. Aono, Nanoionics-based resistive switching memories. Nature Materials 6, 833–840 (2007).</w:t>
      </w:r>
    </w:p>
    <w:p w14:paraId="505984F7" w14:textId="77777777" w:rsidR="00CB7745" w:rsidRDefault="00CB7745">
      <w:pPr>
        <w:spacing w:after="60"/>
        <w:ind w:hanging="480"/>
        <w:divId w:val="2074693967"/>
        <w:rPr>
          <w:rFonts w:ascii="Arial" w:hAnsi="Arial" w:cs="Arial"/>
          <w:sz w:val="18"/>
          <w:szCs w:val="18"/>
        </w:rPr>
      </w:pPr>
      <w:r>
        <w:rPr>
          <w:rFonts w:ascii="Arial" w:hAnsi="Arial" w:cs="Arial"/>
          <w:sz w:val="18"/>
          <w:szCs w:val="18"/>
        </w:rPr>
        <w:t xml:space="preserve">[2] R. Waser, R. Dittmann, G. Staikov, K. Szot, Redox-Based Resistive Switching Memories – </w:t>
      </w:r>
      <w:r>
        <w:rPr>
          <w:rFonts w:ascii="Arial" w:hAnsi="Arial" w:cs="Arial"/>
          <w:sz w:val="18"/>
          <w:szCs w:val="18"/>
        </w:rPr>
        <w:t>Nanoionic Mechanisms, Prospects, and Challenges. Advanced Materials 21, 2632–2663 (2009).</w:t>
      </w:r>
    </w:p>
    <w:p w14:paraId="154ECC2D" w14:textId="77777777" w:rsidR="00CB7745" w:rsidRDefault="00CB7745">
      <w:pPr>
        <w:spacing w:after="60"/>
        <w:ind w:hanging="480"/>
        <w:divId w:val="2074693967"/>
        <w:rPr>
          <w:rFonts w:ascii="Arial" w:hAnsi="Arial" w:cs="Arial"/>
          <w:sz w:val="18"/>
          <w:szCs w:val="18"/>
        </w:rPr>
      </w:pPr>
      <w:r>
        <w:rPr>
          <w:rFonts w:ascii="Arial" w:hAnsi="Arial" w:cs="Arial"/>
          <w:sz w:val="18"/>
          <w:szCs w:val="18"/>
        </w:rPr>
        <w:t>[3] R. Dittmann, S. Menzel, R. Waser, Nanoionic memristive phenomena in metal oxides: the valence change mechanism. Advances in Physics 70, 155–349 (2021).</w:t>
      </w:r>
    </w:p>
    <w:p w14:paraId="0AFBA907" w14:textId="77777777" w:rsidR="00CB7745" w:rsidRDefault="00CB7745">
      <w:pPr>
        <w:spacing w:after="60"/>
        <w:ind w:hanging="480"/>
        <w:divId w:val="2074693967"/>
        <w:rPr>
          <w:rFonts w:ascii="Arial" w:hAnsi="Arial" w:cs="Arial"/>
          <w:sz w:val="18"/>
          <w:szCs w:val="18"/>
        </w:rPr>
      </w:pPr>
      <w:r>
        <w:rPr>
          <w:rFonts w:ascii="Arial" w:hAnsi="Arial" w:cs="Arial"/>
          <w:sz w:val="18"/>
          <w:szCs w:val="18"/>
        </w:rPr>
        <w:t>[4] S. Menzel, M. Waters, A. Marchewka, U. Böttger, R. Dittmann, R. Waser, Origin of the Ultra-nonlinear Switching Kinetics in Oxide-Based Resistive Switches. Advanced Functional Materials 21, 4487–4492 (2011).</w:t>
      </w:r>
    </w:p>
    <w:p w14:paraId="73901A60" w14:textId="77777777" w:rsidR="00CB7745" w:rsidRDefault="00CB7745">
      <w:pPr>
        <w:spacing w:after="60"/>
        <w:ind w:hanging="480"/>
        <w:divId w:val="2074693967"/>
        <w:rPr>
          <w:rFonts w:ascii="Arial" w:hAnsi="Arial" w:cs="Arial"/>
          <w:sz w:val="18"/>
          <w:szCs w:val="18"/>
        </w:rPr>
      </w:pPr>
      <w:r>
        <w:rPr>
          <w:rFonts w:ascii="Arial" w:hAnsi="Arial" w:cs="Arial"/>
          <w:sz w:val="18"/>
          <w:szCs w:val="18"/>
        </w:rPr>
        <w:t>[5] Y.-L. Lee, J. Kleis, J. Rossmeisl, Y. Shao-Horn, D. Morgan, Prediction of solid oxide fuel cell cathode activity with first-principles descriptors. Energy &amp; Environmental Science 4, 3966–3970 (2011).</w:t>
      </w:r>
    </w:p>
    <w:p w14:paraId="7A50D4D9" w14:textId="77777777" w:rsidR="00CB7745" w:rsidRDefault="00CB7745">
      <w:pPr>
        <w:spacing w:after="60"/>
        <w:ind w:hanging="480"/>
        <w:divId w:val="2074693967"/>
        <w:rPr>
          <w:rFonts w:ascii="Arial" w:hAnsi="Arial" w:cs="Arial"/>
          <w:sz w:val="18"/>
          <w:szCs w:val="18"/>
        </w:rPr>
      </w:pPr>
      <w:r>
        <w:rPr>
          <w:rFonts w:ascii="Arial" w:hAnsi="Arial" w:cs="Arial"/>
          <w:sz w:val="18"/>
          <w:szCs w:val="18"/>
        </w:rPr>
        <w:t>[6] R. Jacobs, J. Hwang, Y. Shao-Horn, D. Morgan, Assessing Correlations of Perovskite Catalytic Performance with Electronic Structure Descriptors. Chemistry of Materials 31, 785–797 (2019).</w:t>
      </w:r>
    </w:p>
    <w:p w14:paraId="0A029254" w14:textId="77777777" w:rsidR="00CB7745" w:rsidRDefault="00CB7745">
      <w:pPr>
        <w:spacing w:after="60"/>
        <w:ind w:hanging="480"/>
        <w:divId w:val="2074693967"/>
        <w:rPr>
          <w:rFonts w:ascii="Arial" w:hAnsi="Arial" w:cs="Arial"/>
          <w:sz w:val="18"/>
          <w:szCs w:val="18"/>
        </w:rPr>
      </w:pPr>
      <w:r>
        <w:rPr>
          <w:rFonts w:ascii="Arial" w:hAnsi="Arial" w:cs="Arial"/>
          <w:sz w:val="18"/>
          <w:szCs w:val="18"/>
        </w:rPr>
        <w:t>[7] A. M. Deml, V. Stevanović, C. L. Muhich, C. B. Musgrave, R. O’</w:t>
      </w:r>
      <w:r>
        <w:rPr>
          <w:rFonts w:ascii="Arial" w:hAnsi="Arial" w:cs="Arial"/>
          <w:sz w:val="18"/>
          <w:szCs w:val="18"/>
        </w:rPr>
        <w:t>Hayre, Oxide enthalpy of formation and band gap energy as accurate descriptors of oxygen vacancy formation energetics. Energy &amp; Environmental Science 7, 1996–2004 (2014).</w:t>
      </w:r>
    </w:p>
    <w:p w14:paraId="1FB45FFB" w14:textId="77777777" w:rsidR="00CB7745" w:rsidRDefault="00CB7745">
      <w:pPr>
        <w:spacing w:after="60"/>
        <w:ind w:hanging="480"/>
        <w:divId w:val="2074693967"/>
        <w:rPr>
          <w:rFonts w:ascii="Arial" w:hAnsi="Arial" w:cs="Arial"/>
          <w:sz w:val="18"/>
          <w:szCs w:val="18"/>
        </w:rPr>
      </w:pPr>
      <w:r>
        <w:rPr>
          <w:rFonts w:ascii="Arial" w:hAnsi="Arial" w:cs="Arial"/>
          <w:sz w:val="18"/>
          <w:szCs w:val="18"/>
        </w:rPr>
        <w:t>[8] R. B. Wexler, G. Sai Gautam, E. B. Stechel, E. A. Carter, Factors Governing Oxygen Vacancy Formation in Oxide Perovskites. Journal of the American Chemical Society 143, 13212–13227 (2021).</w:t>
      </w:r>
    </w:p>
    <w:p w14:paraId="65D2F440" w14:textId="77777777" w:rsidR="00CB7745" w:rsidRDefault="00CB7745">
      <w:pPr>
        <w:spacing w:after="60"/>
        <w:ind w:hanging="480"/>
        <w:divId w:val="2074693967"/>
        <w:rPr>
          <w:rFonts w:ascii="Arial" w:hAnsi="Arial" w:cs="Arial"/>
          <w:sz w:val="18"/>
          <w:szCs w:val="18"/>
        </w:rPr>
      </w:pPr>
      <w:r>
        <w:rPr>
          <w:rFonts w:ascii="Arial" w:hAnsi="Arial" w:cs="Arial"/>
          <w:sz w:val="18"/>
          <w:szCs w:val="18"/>
        </w:rPr>
        <w:t>[9] P. Kuiper, J. van Elp, G. A. Sawatzky et al., Unoccupied density of states of La</w:t>
      </w:r>
      <w:r>
        <w:rPr>
          <w:rFonts w:ascii="Arial" w:hAnsi="Arial" w:cs="Arial"/>
          <w:sz w:val="18"/>
          <w:szCs w:val="18"/>
          <w:vertAlign w:val="subscript"/>
        </w:rPr>
        <w:t>2-x</w:t>
      </w:r>
      <w:r>
        <w:rPr>
          <w:rFonts w:ascii="Arial" w:hAnsi="Arial" w:cs="Arial"/>
          <w:sz w:val="18"/>
          <w:szCs w:val="18"/>
        </w:rPr>
        <w:t>Sr</w:t>
      </w:r>
      <w:r>
        <w:rPr>
          <w:rFonts w:ascii="Arial" w:hAnsi="Arial" w:cs="Arial"/>
          <w:sz w:val="18"/>
          <w:szCs w:val="18"/>
          <w:vertAlign w:val="subscript"/>
        </w:rPr>
        <w:t>x</w:t>
      </w:r>
      <w:r>
        <w:rPr>
          <w:rFonts w:ascii="Arial" w:hAnsi="Arial" w:cs="Arial"/>
          <w:sz w:val="18"/>
          <w:szCs w:val="18"/>
        </w:rPr>
        <w:t>NiO</w:t>
      </w:r>
      <w:r>
        <w:rPr>
          <w:rFonts w:ascii="Arial" w:hAnsi="Arial" w:cs="Arial"/>
          <w:sz w:val="18"/>
          <w:szCs w:val="18"/>
          <w:vertAlign w:val="subscript"/>
        </w:rPr>
        <w:t>4+δ</w:t>
      </w:r>
      <w:r>
        <w:rPr>
          <w:rFonts w:ascii="Arial" w:hAnsi="Arial" w:cs="Arial"/>
          <w:sz w:val="18"/>
          <w:szCs w:val="18"/>
        </w:rPr>
        <w:t xml:space="preserve"> </w:t>
      </w:r>
      <w:r>
        <w:rPr>
          <w:rFonts w:ascii="Arial" w:hAnsi="Arial" w:cs="Arial"/>
          <w:sz w:val="18"/>
          <w:szCs w:val="18"/>
        </w:rPr>
        <w:t>studied by polarization-dependent x-ray-absorption spectroscopy and bremsstrahlung isochromat spectroscopy. Physical Review B 44, 4570–4575 (1991).</w:t>
      </w:r>
    </w:p>
    <w:p w14:paraId="68F133CF" w14:textId="77777777" w:rsidR="00CB7745" w:rsidRDefault="00CB7745">
      <w:pPr>
        <w:spacing w:after="60"/>
        <w:ind w:hanging="480"/>
        <w:divId w:val="2074693967"/>
        <w:rPr>
          <w:rFonts w:ascii="Arial" w:hAnsi="Arial" w:cs="Arial"/>
          <w:sz w:val="18"/>
          <w:szCs w:val="18"/>
        </w:rPr>
      </w:pPr>
      <w:r>
        <w:rPr>
          <w:rFonts w:ascii="Arial" w:hAnsi="Arial" w:cs="Arial"/>
          <w:sz w:val="18"/>
          <w:szCs w:val="18"/>
        </w:rPr>
        <w:t>[10] T.-K. Khuu et al., La</w:t>
      </w:r>
      <w:r>
        <w:rPr>
          <w:rFonts w:ascii="Arial" w:hAnsi="Arial" w:cs="Arial"/>
          <w:sz w:val="18"/>
          <w:szCs w:val="18"/>
          <w:vertAlign w:val="subscript"/>
        </w:rPr>
        <w:t>2</w:t>
      </w:r>
      <w:r>
        <w:rPr>
          <w:rFonts w:ascii="Arial" w:hAnsi="Arial" w:cs="Arial"/>
          <w:sz w:val="18"/>
          <w:szCs w:val="18"/>
        </w:rPr>
        <w:t>NiO</w:t>
      </w:r>
      <w:r>
        <w:rPr>
          <w:rFonts w:ascii="Arial" w:hAnsi="Arial" w:cs="Arial"/>
          <w:sz w:val="18"/>
          <w:szCs w:val="18"/>
          <w:vertAlign w:val="subscript"/>
        </w:rPr>
        <w:t>4+δ</w:t>
      </w:r>
      <w:r>
        <w:rPr>
          <w:rFonts w:ascii="Arial" w:hAnsi="Arial" w:cs="Arial"/>
          <w:sz w:val="18"/>
          <w:szCs w:val="18"/>
        </w:rPr>
        <w:t>-Based Memristive Devices Integrated on Si-Based Substrates. Advanced Materials Technologies 7, 2200329 (2022).</w:t>
      </w:r>
    </w:p>
    <w:p w14:paraId="085D7002" w14:textId="77777777" w:rsidR="00CB7745" w:rsidRDefault="00CB7745">
      <w:pPr>
        <w:spacing w:after="60"/>
        <w:ind w:hanging="480"/>
        <w:divId w:val="2074693967"/>
        <w:rPr>
          <w:rFonts w:ascii="Arial" w:hAnsi="Arial" w:cs="Arial"/>
          <w:sz w:val="18"/>
          <w:szCs w:val="18"/>
        </w:rPr>
      </w:pPr>
      <w:r>
        <w:rPr>
          <w:rFonts w:ascii="Arial" w:hAnsi="Arial" w:cs="Arial"/>
          <w:sz w:val="18"/>
          <w:szCs w:val="18"/>
        </w:rPr>
        <w:t>[11] A. Koroleva et al., Impact of the La</w:t>
      </w:r>
      <w:r>
        <w:rPr>
          <w:rFonts w:ascii="Arial" w:hAnsi="Arial" w:cs="Arial"/>
          <w:sz w:val="18"/>
          <w:szCs w:val="18"/>
          <w:vertAlign w:val="subscript"/>
        </w:rPr>
        <w:t>2</w:t>
      </w:r>
      <w:r>
        <w:rPr>
          <w:rFonts w:ascii="Arial" w:hAnsi="Arial" w:cs="Arial"/>
          <w:sz w:val="18"/>
          <w:szCs w:val="18"/>
        </w:rPr>
        <w:t>NiO</w:t>
      </w:r>
      <w:r>
        <w:rPr>
          <w:rFonts w:ascii="Arial" w:hAnsi="Arial" w:cs="Arial"/>
          <w:sz w:val="18"/>
          <w:szCs w:val="18"/>
          <w:vertAlign w:val="subscript"/>
        </w:rPr>
        <w:t>4+δ</w:t>
      </w:r>
      <w:r>
        <w:rPr>
          <w:rFonts w:ascii="Arial" w:hAnsi="Arial" w:cs="Arial"/>
          <w:sz w:val="18"/>
          <w:szCs w:val="18"/>
        </w:rPr>
        <w:t xml:space="preserve"> Oxygen Content on the Synaptic Properties of the TiN/La</w:t>
      </w:r>
      <w:r>
        <w:rPr>
          <w:rFonts w:ascii="Arial" w:hAnsi="Arial" w:cs="Arial"/>
          <w:sz w:val="18"/>
          <w:szCs w:val="18"/>
          <w:vertAlign w:val="subscript"/>
        </w:rPr>
        <w:t>2</w:t>
      </w:r>
      <w:r>
        <w:rPr>
          <w:rFonts w:ascii="Arial" w:hAnsi="Arial" w:cs="Arial"/>
          <w:sz w:val="18"/>
          <w:szCs w:val="18"/>
        </w:rPr>
        <w:t>NiO</w:t>
      </w:r>
      <w:r>
        <w:rPr>
          <w:rFonts w:ascii="Arial" w:hAnsi="Arial" w:cs="Arial"/>
          <w:sz w:val="18"/>
          <w:szCs w:val="18"/>
          <w:vertAlign w:val="subscript"/>
        </w:rPr>
        <w:t>4+δ</w:t>
      </w:r>
      <w:r>
        <w:rPr>
          <w:rFonts w:ascii="Arial" w:hAnsi="Arial" w:cs="Arial"/>
          <w:sz w:val="18"/>
          <w:szCs w:val="18"/>
        </w:rPr>
        <w:t>/Pt Memristive Devices. Advanced Electronic Materials 10, 2400096 (2024).</w:t>
      </w:r>
    </w:p>
    <w:p w14:paraId="039EAE1C" w14:textId="77777777" w:rsidR="00CB7745" w:rsidRDefault="00CB7745">
      <w:pPr>
        <w:spacing w:after="60"/>
        <w:ind w:hanging="480"/>
        <w:divId w:val="2074693967"/>
        <w:rPr>
          <w:rFonts w:ascii="Arial" w:hAnsi="Arial" w:cs="Arial"/>
          <w:sz w:val="18"/>
          <w:szCs w:val="18"/>
        </w:rPr>
      </w:pPr>
      <w:r>
        <w:rPr>
          <w:rFonts w:ascii="Arial" w:hAnsi="Arial" w:cs="Arial"/>
          <w:sz w:val="18"/>
          <w:szCs w:val="18"/>
        </w:rPr>
        <w:t>[12] T.-K. Khuu, A. Koroleva et al., Operando Spectroscopic Investigation of the Valence Change Mechanism in La</w:t>
      </w:r>
      <w:r>
        <w:rPr>
          <w:rFonts w:ascii="Arial" w:hAnsi="Arial" w:cs="Arial"/>
          <w:sz w:val="18"/>
          <w:szCs w:val="18"/>
          <w:vertAlign w:val="subscript"/>
        </w:rPr>
        <w:t>2</w:t>
      </w:r>
      <w:r>
        <w:rPr>
          <w:rFonts w:ascii="Arial" w:hAnsi="Arial" w:cs="Arial"/>
          <w:sz w:val="18"/>
          <w:szCs w:val="18"/>
        </w:rPr>
        <w:t>NiO</w:t>
      </w:r>
      <w:r>
        <w:rPr>
          <w:rFonts w:ascii="Arial" w:hAnsi="Arial" w:cs="Arial"/>
          <w:sz w:val="18"/>
          <w:szCs w:val="18"/>
          <w:vertAlign w:val="subscript"/>
        </w:rPr>
        <w:t>4+δ</w:t>
      </w:r>
      <w:r>
        <w:rPr>
          <w:rFonts w:ascii="Arial" w:hAnsi="Arial" w:cs="Arial"/>
          <w:sz w:val="18"/>
          <w:szCs w:val="18"/>
        </w:rPr>
        <w:t>-Based Memristive Devices. Advanced Electronic Materials 11, 2400313 (2025).</w:t>
      </w:r>
    </w:p>
    <w:p w14:paraId="798A102E" w14:textId="77777777" w:rsidR="00CB7745" w:rsidRDefault="00CB7745">
      <w:pPr>
        <w:spacing w:after="60"/>
        <w:ind w:hanging="480"/>
        <w:divId w:val="2074693967"/>
        <w:rPr>
          <w:rFonts w:ascii="Arial" w:hAnsi="Arial" w:cs="Arial"/>
          <w:sz w:val="18"/>
          <w:szCs w:val="18"/>
        </w:rPr>
      </w:pPr>
      <w:r>
        <w:rPr>
          <w:rFonts w:ascii="Arial" w:hAnsi="Arial" w:cs="Arial"/>
          <w:sz w:val="18"/>
          <w:szCs w:val="18"/>
        </w:rPr>
        <w:t>[13] C. Baeumer et al., Quantifying redox-induced Schottky barrier variations in memristive devices via in operando spectromicroscopy with graphene electrodes. Nature Communications 7, 12398 (2016).</w:t>
      </w:r>
    </w:p>
    <w:p w14:paraId="409BB4C4" w14:textId="77777777" w:rsidR="00CB7745" w:rsidRDefault="00CB7745">
      <w:pPr>
        <w:spacing w:after="60"/>
        <w:ind w:hanging="480"/>
        <w:divId w:val="2074693967"/>
        <w:rPr>
          <w:rFonts w:ascii="Arial" w:hAnsi="Arial" w:cs="Arial"/>
          <w:sz w:val="18"/>
          <w:szCs w:val="18"/>
        </w:rPr>
      </w:pPr>
      <w:r>
        <w:rPr>
          <w:rFonts w:ascii="Arial" w:hAnsi="Arial" w:cs="Arial"/>
          <w:sz w:val="18"/>
          <w:szCs w:val="18"/>
        </w:rPr>
        <w:t>[14] H. Tian et al., Monitoring Oxygen Movement by Raman Spectroscopy of Resistive Random Access Memory with a Graphene-Inserted Electrode. Nano Letters 13, 651–657 (2013).</w:t>
      </w:r>
    </w:p>
    <w:p w14:paraId="30728704" w14:textId="77777777" w:rsidR="00CB7745" w:rsidRDefault="00CB7745">
      <w:pPr>
        <w:spacing w:after="60"/>
        <w:ind w:hanging="480"/>
        <w:divId w:val="2074693967"/>
        <w:rPr>
          <w:rFonts w:ascii="Arial" w:hAnsi="Arial" w:cs="Arial"/>
          <w:sz w:val="18"/>
          <w:szCs w:val="18"/>
        </w:rPr>
      </w:pPr>
      <w:r>
        <w:rPr>
          <w:rFonts w:ascii="Arial" w:hAnsi="Arial" w:cs="Arial"/>
          <w:sz w:val="18"/>
          <w:szCs w:val="18"/>
        </w:rPr>
        <w:t>[15] J. Suntivich et al., Estimating Hybridization of Transition Metal and Oxygen States in Perovskites from O K-edge X-ray Absorption Spectroscopy. Journal of Physical Chemistry C 118, 1856–1863 (2014).</w:t>
      </w:r>
    </w:p>
    <w:p w14:paraId="34B266B1" w14:textId="77777777" w:rsidR="00CB7745" w:rsidRDefault="00CB7745">
      <w:pPr>
        <w:spacing w:after="60"/>
        <w:ind w:hanging="480"/>
        <w:divId w:val="2074693967"/>
        <w:rPr>
          <w:rFonts w:ascii="Arial" w:hAnsi="Arial" w:cs="Arial"/>
          <w:sz w:val="18"/>
          <w:szCs w:val="18"/>
        </w:rPr>
      </w:pPr>
      <w:r>
        <w:rPr>
          <w:rFonts w:ascii="Arial" w:hAnsi="Arial" w:cs="Arial"/>
          <w:sz w:val="18"/>
          <w:szCs w:val="18"/>
        </w:rPr>
        <w:t>[16] F. Frati, M. O. J. Y. Hunault, F. M. F. de Groot, Oxygen K-edge X-ray Absorption Spectra. Chemical Reviews 120, 4056–4110 (2020).</w:t>
      </w:r>
    </w:p>
    <w:p w14:paraId="3B1A5DA8" w14:textId="77777777" w:rsidR="00CB7745" w:rsidRDefault="00CB7745">
      <w:pPr>
        <w:spacing w:after="60"/>
        <w:ind w:hanging="480"/>
        <w:divId w:val="2074693967"/>
        <w:rPr>
          <w:rFonts w:ascii="Arial" w:hAnsi="Arial" w:cs="Arial"/>
          <w:sz w:val="18"/>
          <w:szCs w:val="18"/>
        </w:rPr>
      </w:pPr>
      <w:r>
        <w:rPr>
          <w:rFonts w:ascii="Arial" w:hAnsi="Arial" w:cs="Arial"/>
          <w:sz w:val="18"/>
          <w:szCs w:val="18"/>
        </w:rPr>
        <w:t>[17] S. Asanuma, H. Akoh, H. Yamada, A. Sawa, Relationship between resistive switching characteristics and band diagrams of Ti/Pr</w:t>
      </w:r>
      <w:r>
        <w:rPr>
          <w:rFonts w:ascii="Arial" w:hAnsi="Arial" w:cs="Arial"/>
          <w:sz w:val="18"/>
          <w:szCs w:val="18"/>
          <w:vertAlign w:val="subscript"/>
        </w:rPr>
        <w:t>1-x</w:t>
      </w:r>
      <w:r>
        <w:rPr>
          <w:rFonts w:ascii="Arial" w:hAnsi="Arial" w:cs="Arial"/>
          <w:sz w:val="18"/>
          <w:szCs w:val="18"/>
        </w:rPr>
        <w:t>Ca</w:t>
      </w:r>
      <w:r>
        <w:rPr>
          <w:rFonts w:ascii="Arial" w:hAnsi="Arial" w:cs="Arial"/>
          <w:sz w:val="18"/>
          <w:szCs w:val="18"/>
          <w:vertAlign w:val="subscript"/>
        </w:rPr>
        <w:t>x</w:t>
      </w:r>
      <w:r>
        <w:rPr>
          <w:rFonts w:ascii="Arial" w:hAnsi="Arial" w:cs="Arial"/>
          <w:sz w:val="18"/>
          <w:szCs w:val="18"/>
        </w:rPr>
        <w:t>MnO</w:t>
      </w:r>
      <w:r>
        <w:rPr>
          <w:rFonts w:ascii="Arial" w:hAnsi="Arial" w:cs="Arial"/>
          <w:sz w:val="18"/>
          <w:szCs w:val="18"/>
          <w:vertAlign w:val="subscript"/>
        </w:rPr>
        <w:t>3</w:t>
      </w:r>
      <w:r>
        <w:rPr>
          <w:rFonts w:ascii="Arial" w:hAnsi="Arial" w:cs="Arial"/>
          <w:sz w:val="18"/>
          <w:szCs w:val="18"/>
        </w:rPr>
        <w:t xml:space="preserve"> junctions. Physical Review B 80, 235113 (2009).</w:t>
      </w:r>
    </w:p>
    <w:p w14:paraId="7D87C933" w14:textId="77777777" w:rsidR="00CB7745" w:rsidRDefault="00CB7745">
      <w:pPr>
        <w:spacing w:after="60"/>
        <w:ind w:hanging="480"/>
        <w:divId w:val="2074693967"/>
        <w:rPr>
          <w:rFonts w:ascii="Arial" w:hAnsi="Arial" w:cs="Arial"/>
          <w:sz w:val="18"/>
          <w:szCs w:val="18"/>
        </w:rPr>
      </w:pPr>
      <w:r>
        <w:rPr>
          <w:rFonts w:ascii="Arial" w:hAnsi="Arial" w:cs="Arial"/>
          <w:sz w:val="18"/>
          <w:szCs w:val="18"/>
        </w:rPr>
        <w:t>[18] A. Herpers, C. Lenser, C. Park, F. Offi, F. Borgatti, G. Panaccione, S. Menzel, R. Waser, R. Dittmann, Spectroscopic proof of the correlation between redox-state and charge-carrier transport at the interface of resistively switching Ti/PCMO devices. Advanced Materials 26, 2730–2735 (2014).</w:t>
      </w:r>
    </w:p>
    <w:p w14:paraId="5D3E9B31" w14:textId="77777777" w:rsidR="00CB7745" w:rsidRDefault="00CB7745">
      <w:pPr>
        <w:spacing w:after="60"/>
        <w:ind w:hanging="480"/>
        <w:divId w:val="2074693967"/>
        <w:rPr>
          <w:rFonts w:ascii="Arial" w:hAnsi="Arial" w:cs="Arial"/>
          <w:sz w:val="18"/>
          <w:szCs w:val="18"/>
        </w:rPr>
      </w:pPr>
      <w:r>
        <w:rPr>
          <w:rFonts w:ascii="Arial" w:hAnsi="Arial" w:cs="Arial"/>
          <w:sz w:val="18"/>
          <w:szCs w:val="18"/>
        </w:rPr>
        <w:t>[19] W. C. Chueh, C. Falter, M. Abbott, D. Scipio, P. Furler, S. M. Haile, A. Steinfeld, High-Flux Solar-Driven Thermochemical Dissociation of CO</w:t>
      </w:r>
      <w:r>
        <w:rPr>
          <w:rFonts w:ascii="Arial" w:hAnsi="Arial" w:cs="Arial"/>
          <w:sz w:val="18"/>
          <w:szCs w:val="18"/>
          <w:vertAlign w:val="subscript"/>
        </w:rPr>
        <w:t>2</w:t>
      </w:r>
      <w:r>
        <w:rPr>
          <w:rFonts w:ascii="Arial" w:hAnsi="Arial" w:cs="Arial"/>
          <w:sz w:val="18"/>
          <w:szCs w:val="18"/>
        </w:rPr>
        <w:t xml:space="preserve"> and H</w:t>
      </w:r>
      <w:r>
        <w:rPr>
          <w:rFonts w:ascii="Arial" w:hAnsi="Arial" w:cs="Arial"/>
          <w:sz w:val="18"/>
          <w:szCs w:val="18"/>
          <w:vertAlign w:val="subscript"/>
        </w:rPr>
        <w:t>2</w:t>
      </w:r>
      <w:r>
        <w:rPr>
          <w:rFonts w:ascii="Arial" w:hAnsi="Arial" w:cs="Arial"/>
          <w:sz w:val="18"/>
          <w:szCs w:val="18"/>
        </w:rPr>
        <w:t>O Using Nonstoichiometric Ceria. Science 330, 1797–1801 (2010).</w:t>
      </w:r>
    </w:p>
    <w:p w14:paraId="45D495C5" w14:textId="77777777" w:rsidR="00CB7745" w:rsidRDefault="00CB7745">
      <w:pPr>
        <w:spacing w:after="60"/>
        <w:ind w:hanging="480"/>
        <w:divId w:val="2074693967"/>
        <w:rPr>
          <w:rFonts w:ascii="Arial" w:hAnsi="Arial" w:cs="Arial"/>
          <w:sz w:val="18"/>
          <w:szCs w:val="18"/>
        </w:rPr>
      </w:pPr>
      <w:r>
        <w:rPr>
          <w:rFonts w:ascii="Arial" w:hAnsi="Arial" w:cs="Arial"/>
          <w:sz w:val="18"/>
          <w:szCs w:val="18"/>
        </w:rPr>
        <w:t>[20] D. N. Mueller, M. L. Machala, H. Bluhm, W. C. Chueh, Redox activity of surface oxygen anions in oxygen-deficient perovskite oxides during electrochemical reactions. Nature Communications 6, 6097 (2015).</w:t>
      </w:r>
    </w:p>
    <w:p w14:paraId="078280C9" w14:textId="77777777" w:rsidR="00CB7745" w:rsidRDefault="00CB7745">
      <w:pPr>
        <w:spacing w:after="60"/>
        <w:ind w:hanging="480"/>
        <w:divId w:val="2074693967"/>
        <w:rPr>
          <w:rFonts w:ascii="Arial" w:hAnsi="Arial" w:cs="Arial"/>
          <w:sz w:val="18"/>
          <w:szCs w:val="18"/>
        </w:rPr>
      </w:pPr>
      <w:r>
        <w:rPr>
          <w:rFonts w:ascii="Arial" w:hAnsi="Arial" w:cs="Arial"/>
          <w:sz w:val="18"/>
          <w:szCs w:val="18"/>
        </w:rPr>
        <w:t>[21] C. Baeumer, J. Li, Q. Lu et al. (with W. C. Chueh), Tuning electrochemically driven surface transformation in atomically flat LaNiO</w:t>
      </w:r>
      <w:r>
        <w:rPr>
          <w:rFonts w:ascii="Arial" w:hAnsi="Arial" w:cs="Arial"/>
          <w:sz w:val="18"/>
          <w:szCs w:val="18"/>
          <w:vertAlign w:val="subscript"/>
        </w:rPr>
        <w:t>3</w:t>
      </w:r>
      <w:r>
        <w:rPr>
          <w:rFonts w:ascii="Arial" w:hAnsi="Arial" w:cs="Arial"/>
          <w:sz w:val="18"/>
          <w:szCs w:val="18"/>
        </w:rPr>
        <w:t xml:space="preserve"> thin films for enhanced water electrolysis. Nature Materials 20, 674–682 (2021).</w:t>
      </w:r>
    </w:p>
    <w:p w14:paraId="349346CF" w14:textId="77777777" w:rsidR="00CB7745" w:rsidRDefault="00CB7745">
      <w:pPr>
        <w:spacing w:after="60"/>
        <w:ind w:hanging="480"/>
        <w:divId w:val="2074693967"/>
        <w:rPr>
          <w:rFonts w:ascii="Arial" w:hAnsi="Arial" w:cs="Arial"/>
          <w:sz w:val="18"/>
          <w:szCs w:val="18"/>
        </w:rPr>
      </w:pPr>
      <w:r>
        <w:rPr>
          <w:rFonts w:ascii="Arial" w:hAnsi="Arial" w:cs="Arial"/>
          <w:sz w:val="18"/>
          <w:szCs w:val="18"/>
        </w:rPr>
        <w:t>[22] M. Wuttig et al., Revisiting the Nature of Chemical Bonding in Chalcogenides to Explain and Design their Properties. Advanced Materials 35, 2208485 (2023).</w:t>
      </w:r>
    </w:p>
    <w:p w14:paraId="111037FD" w14:textId="77777777" w:rsidR="00CB7745" w:rsidRDefault="00CB7745">
      <w:pPr>
        <w:spacing w:after="60"/>
        <w:ind w:hanging="480"/>
        <w:divId w:val="2074693967"/>
        <w:rPr>
          <w:rFonts w:ascii="Arial" w:hAnsi="Arial" w:cs="Arial"/>
          <w:sz w:val="18"/>
          <w:szCs w:val="18"/>
        </w:rPr>
      </w:pPr>
      <w:r>
        <w:rPr>
          <w:rFonts w:ascii="Arial" w:hAnsi="Arial" w:cs="Arial"/>
          <w:sz w:val="18"/>
          <w:szCs w:val="18"/>
        </w:rPr>
        <w:t>[E1] M. Buczek et al., Amorphous, Highly Conductive Pr</w:t>
      </w:r>
      <w:r>
        <w:rPr>
          <w:rFonts w:ascii="Arial" w:hAnsi="Arial" w:cs="Arial"/>
          <w:sz w:val="18"/>
          <w:szCs w:val="18"/>
          <w:vertAlign w:val="subscript"/>
        </w:rPr>
        <w:t>0.7</w:t>
      </w:r>
      <w:r>
        <w:rPr>
          <w:rFonts w:ascii="Arial" w:hAnsi="Arial" w:cs="Arial"/>
          <w:sz w:val="18"/>
          <w:szCs w:val="18"/>
        </w:rPr>
        <w:t>Ca</w:t>
      </w:r>
      <w:r>
        <w:rPr>
          <w:rFonts w:ascii="Arial" w:hAnsi="Arial" w:cs="Arial"/>
          <w:sz w:val="18"/>
          <w:szCs w:val="18"/>
          <w:vertAlign w:val="subscript"/>
        </w:rPr>
        <w:t>0.3</w:t>
      </w:r>
      <w:r>
        <w:rPr>
          <w:rFonts w:ascii="Arial" w:hAnsi="Arial" w:cs="Arial"/>
          <w:sz w:val="18"/>
          <w:szCs w:val="18"/>
        </w:rPr>
        <w:t>MnO</w:t>
      </w:r>
      <w:r>
        <w:rPr>
          <w:rFonts w:ascii="Arial" w:hAnsi="Arial" w:cs="Arial"/>
          <w:sz w:val="18"/>
          <w:szCs w:val="18"/>
          <w:vertAlign w:val="subscript"/>
        </w:rPr>
        <w:t>3</w:t>
      </w:r>
      <w:r>
        <w:rPr>
          <w:rFonts w:ascii="Arial" w:hAnsi="Arial" w:cs="Arial"/>
          <w:sz w:val="18"/>
          <w:szCs w:val="18"/>
        </w:rPr>
        <w:t xml:space="preserve"> </w:t>
      </w:r>
      <w:r>
        <w:rPr>
          <w:rFonts w:ascii="Arial" w:hAnsi="Arial" w:cs="Arial"/>
          <w:sz w:val="18"/>
          <w:szCs w:val="18"/>
        </w:rPr>
        <w:t>for Area-Dependent Resistive Switching Devices. Advanced Electronic Materials (2026, accepted).</w:t>
      </w:r>
    </w:p>
    <w:p w14:paraId="36408EA5" w14:textId="77777777" w:rsidR="00CB7745" w:rsidRDefault="00CB7745">
      <w:pPr>
        <w:spacing w:after="60"/>
        <w:ind w:hanging="480"/>
        <w:divId w:val="2074693967"/>
        <w:rPr>
          <w:rFonts w:ascii="Arial" w:hAnsi="Arial" w:cs="Arial"/>
          <w:sz w:val="18"/>
          <w:szCs w:val="18"/>
        </w:rPr>
      </w:pPr>
      <w:r>
        <w:rPr>
          <w:rFonts w:ascii="Arial" w:hAnsi="Arial" w:cs="Arial"/>
          <w:sz w:val="18"/>
          <w:szCs w:val="18"/>
        </w:rPr>
        <w:t>[E2] M. Buczek, Z. Moos, A. Gutsche, S. Menzel, R. Dittmann, Pr</w:t>
      </w:r>
      <w:r>
        <w:rPr>
          <w:rFonts w:ascii="Arial" w:hAnsi="Arial" w:cs="Arial"/>
          <w:sz w:val="18"/>
          <w:szCs w:val="18"/>
          <w:vertAlign w:val="subscript"/>
        </w:rPr>
        <w:t>1-x</w:t>
      </w:r>
      <w:r>
        <w:rPr>
          <w:rFonts w:ascii="Arial" w:hAnsi="Arial" w:cs="Arial"/>
          <w:sz w:val="18"/>
          <w:szCs w:val="18"/>
        </w:rPr>
        <w:t>Ca</w:t>
      </w:r>
      <w:r>
        <w:rPr>
          <w:rFonts w:ascii="Arial" w:hAnsi="Arial" w:cs="Arial"/>
          <w:sz w:val="18"/>
          <w:szCs w:val="18"/>
          <w:vertAlign w:val="subscript"/>
        </w:rPr>
        <w:t>x</w:t>
      </w:r>
      <w:r>
        <w:rPr>
          <w:rFonts w:ascii="Arial" w:hAnsi="Arial" w:cs="Arial"/>
          <w:sz w:val="18"/>
          <w:szCs w:val="18"/>
        </w:rPr>
        <w:t>MnO</w:t>
      </w:r>
      <w:r>
        <w:rPr>
          <w:rFonts w:ascii="Arial" w:hAnsi="Arial" w:cs="Arial"/>
          <w:sz w:val="18"/>
          <w:szCs w:val="18"/>
          <w:vertAlign w:val="subscript"/>
        </w:rPr>
        <w:t>3</w:t>
      </w:r>
      <w:r>
        <w:rPr>
          <w:rFonts w:ascii="Arial" w:hAnsi="Arial" w:cs="Arial"/>
          <w:sz w:val="18"/>
          <w:szCs w:val="18"/>
        </w:rPr>
        <w:t>-Based Memristive Heterostructures: Basic Mechanisms and Applications. Chemical Reviews 125, 6156–6202 (2025).</w:t>
      </w:r>
    </w:p>
    <w:p w14:paraId="65AD3072" w14:textId="77777777" w:rsidR="00CB7745" w:rsidRDefault="00CB7745">
      <w:pPr>
        <w:spacing w:after="60"/>
        <w:ind w:hanging="480"/>
        <w:divId w:val="2074693967"/>
        <w:rPr>
          <w:rFonts w:ascii="Arial" w:hAnsi="Arial" w:cs="Arial"/>
          <w:sz w:val="18"/>
          <w:szCs w:val="18"/>
        </w:rPr>
      </w:pPr>
      <w:r>
        <w:rPr>
          <w:rFonts w:ascii="Arial" w:hAnsi="Arial" w:cs="Arial"/>
          <w:sz w:val="18"/>
          <w:szCs w:val="18"/>
        </w:rPr>
        <w:t>[E3] M. Buczek et al., Large Area Pulsed Laser Deposition of Memristive Pr</w:t>
      </w:r>
      <w:r>
        <w:rPr>
          <w:rFonts w:ascii="Arial" w:hAnsi="Arial" w:cs="Arial"/>
          <w:sz w:val="18"/>
          <w:szCs w:val="18"/>
          <w:vertAlign w:val="subscript"/>
        </w:rPr>
        <w:t>0.7</w:t>
      </w:r>
      <w:r>
        <w:rPr>
          <w:rFonts w:ascii="Arial" w:hAnsi="Arial" w:cs="Arial"/>
          <w:sz w:val="18"/>
          <w:szCs w:val="18"/>
        </w:rPr>
        <w:t>Ca</w:t>
      </w:r>
      <w:r>
        <w:rPr>
          <w:rFonts w:ascii="Arial" w:hAnsi="Arial" w:cs="Arial"/>
          <w:sz w:val="18"/>
          <w:szCs w:val="18"/>
          <w:vertAlign w:val="subscript"/>
        </w:rPr>
        <w:t>0.3</w:t>
      </w:r>
      <w:r>
        <w:rPr>
          <w:rFonts w:ascii="Arial" w:hAnsi="Arial" w:cs="Arial"/>
          <w:sz w:val="18"/>
          <w:szCs w:val="18"/>
        </w:rPr>
        <w:t>MnO</w:t>
      </w:r>
      <w:r>
        <w:rPr>
          <w:rFonts w:ascii="Arial" w:hAnsi="Arial" w:cs="Arial"/>
          <w:sz w:val="18"/>
          <w:szCs w:val="18"/>
          <w:vertAlign w:val="subscript"/>
        </w:rPr>
        <w:t>3</w:t>
      </w:r>
      <w:r>
        <w:rPr>
          <w:rFonts w:ascii="Arial" w:hAnsi="Arial" w:cs="Arial"/>
          <w:sz w:val="18"/>
          <w:szCs w:val="18"/>
        </w:rPr>
        <w:t xml:space="preserve"> Heterostructures for Neuromorphic Computing. Thin Solid Films (2024).</w:t>
      </w:r>
    </w:p>
    <w:p w14:paraId="402883D2" w14:textId="77777777" w:rsidR="00CB7745" w:rsidRDefault="00CB7745">
      <w:pPr>
        <w:pStyle w:val="Heading1"/>
        <w:pageBreakBefore/>
        <w:rPr>
          <w:rFonts w:ascii="Arial" w:eastAsia="Times New Roman" w:hAnsi="Arial" w:cs="Arial"/>
        </w:rPr>
      </w:pPr>
      <w:r>
        <w:rPr>
          <w:rFonts w:ascii="Arial" w:eastAsia="Times New Roman" w:hAnsi="Arial" w:cs="Arial"/>
        </w:rPr>
        <w:t>Checklist of Further Application Documents (AvH online portal)</w:t>
      </w:r>
    </w:p>
    <w:tbl>
      <w:tblPr>
        <w:tblW w:w="5000" w:type="pct"/>
        <w:tblCellMar>
          <w:top w:w="15" w:type="dxa"/>
          <w:left w:w="15" w:type="dxa"/>
          <w:bottom w:w="15" w:type="dxa"/>
          <w:right w:w="15" w:type="dxa"/>
        </w:tblCellMar>
        <w:tblLook w:val="04A0" w:firstRow="1" w:lastRow="0" w:firstColumn="1" w:lastColumn="0" w:noHBand="0" w:noVBand="1"/>
      </w:tblPr>
      <w:tblGrid>
        <w:gridCol w:w="3804"/>
        <w:gridCol w:w="5252"/>
      </w:tblGrid>
      <w:tr w:rsidR="00000000" w14:paraId="796DC2E4" w14:textId="77777777">
        <w:tc>
          <w:tcPr>
            <w:tcW w:w="2100" w:type="pct"/>
            <w:tcBorders>
              <w:top w:val="single" w:sz="6" w:space="0" w:color="999999"/>
              <w:left w:val="single" w:sz="6" w:space="0" w:color="999999"/>
              <w:bottom w:val="single" w:sz="6" w:space="0" w:color="999999"/>
              <w:right w:val="single" w:sz="6" w:space="0" w:color="999999"/>
            </w:tcBorders>
            <w:shd w:val="clear" w:color="auto" w:fill="E7F0EA"/>
            <w:tcMar>
              <w:top w:w="60" w:type="dxa"/>
              <w:left w:w="100" w:type="dxa"/>
              <w:bottom w:w="60" w:type="dxa"/>
              <w:right w:w="100" w:type="dxa"/>
            </w:tcMar>
            <w:hideMark/>
          </w:tcPr>
          <w:p w14:paraId="6D55D32C" w14:textId="77777777" w:rsidR="00CB7745" w:rsidRDefault="00CB7745">
            <w:pPr>
              <w:spacing w:before="120" w:after="200"/>
              <w:rPr>
                <w:rFonts w:ascii="Arial" w:eastAsia="Times New Roman" w:hAnsi="Arial" w:cs="Arial"/>
                <w:b/>
                <w:bCs/>
                <w:sz w:val="19"/>
                <w:szCs w:val="19"/>
              </w:rPr>
            </w:pPr>
            <w:r>
              <w:rPr>
                <w:rFonts w:ascii="Arial" w:eastAsia="Times New Roman" w:hAnsi="Arial" w:cs="Arial"/>
                <w:b/>
                <w:bCs/>
                <w:sz w:val="19"/>
                <w:szCs w:val="19"/>
              </w:rPr>
              <w:t>Document</w:t>
            </w:r>
          </w:p>
        </w:tc>
        <w:tc>
          <w:tcPr>
            <w:tcW w:w="0" w:type="auto"/>
            <w:tcBorders>
              <w:top w:val="single" w:sz="6" w:space="0" w:color="999999"/>
              <w:left w:val="single" w:sz="6" w:space="0" w:color="999999"/>
              <w:bottom w:val="single" w:sz="6" w:space="0" w:color="999999"/>
              <w:right w:val="single" w:sz="6" w:space="0" w:color="999999"/>
            </w:tcBorders>
            <w:shd w:val="clear" w:color="auto" w:fill="E7F0EA"/>
            <w:tcMar>
              <w:top w:w="60" w:type="dxa"/>
              <w:left w:w="100" w:type="dxa"/>
              <w:bottom w:w="60" w:type="dxa"/>
              <w:right w:w="100" w:type="dxa"/>
            </w:tcMar>
            <w:hideMark/>
          </w:tcPr>
          <w:p w14:paraId="10932E8E" w14:textId="77777777" w:rsidR="00CB7745" w:rsidRDefault="00CB7745">
            <w:pPr>
              <w:spacing w:before="120" w:after="200"/>
              <w:rPr>
                <w:rFonts w:ascii="Arial" w:eastAsia="Times New Roman" w:hAnsi="Arial" w:cs="Arial"/>
                <w:b/>
                <w:bCs/>
                <w:sz w:val="19"/>
                <w:szCs w:val="19"/>
              </w:rPr>
            </w:pPr>
            <w:r>
              <w:rPr>
                <w:rFonts w:ascii="Arial" w:eastAsia="Times New Roman" w:hAnsi="Arial" w:cs="Arial"/>
                <w:b/>
                <w:bCs/>
                <w:sz w:val="19"/>
                <w:szCs w:val="19"/>
              </w:rPr>
              <w:t>Status / note</w:t>
            </w:r>
          </w:p>
        </w:tc>
      </w:tr>
      <w:tr w:rsidR="00000000" w14:paraId="28C8C12D"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2DAA5B5" w14:textId="77777777" w:rsidR="00CB7745" w:rsidRDefault="00CB7745">
            <w:pPr>
              <w:spacing w:before="120" w:after="200"/>
              <w:rPr>
                <w:rFonts w:ascii="Arial" w:eastAsia="Times New Roman" w:hAnsi="Arial" w:cs="Arial"/>
                <w:sz w:val="19"/>
                <w:szCs w:val="19"/>
              </w:rPr>
            </w:pPr>
            <w:r>
              <w:rPr>
                <w:rFonts w:ascii="Arial" w:eastAsia="Times New Roman" w:hAnsi="Arial" w:cs="Arial"/>
                <w:sz w:val="19"/>
                <w:szCs w:val="19"/>
              </w:rPr>
              <w:t>Curriculum vitae (max. 2 pages)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913D46B" w14:textId="77777777" w:rsidR="00CB7745" w:rsidRDefault="00CB7745">
            <w:pPr>
              <w:spacing w:before="120" w:after="200"/>
              <w:rPr>
                <w:rFonts w:ascii="Arial" w:eastAsia="Times New Roman" w:hAnsi="Arial" w:cs="Arial"/>
                <w:sz w:val="19"/>
                <w:szCs w:val="19"/>
              </w:rPr>
            </w:pPr>
            <w:r>
              <w:rPr>
                <w:rFonts w:ascii="Arial" w:eastAsia="Times New Roman" w:hAnsi="Arial" w:cs="Arial"/>
                <w:sz w:val="19"/>
                <w:szCs w:val="19"/>
              </w:rPr>
              <w:t>Condense from CV_Max_Buczek; focus: doctorate, methodological profile, publications, supervision</w:t>
            </w:r>
          </w:p>
        </w:tc>
      </w:tr>
      <w:tr w:rsidR="00000000" w14:paraId="1071F401"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8A79D96" w14:textId="77777777" w:rsidR="00CB7745" w:rsidRDefault="00CB7745">
            <w:pPr>
              <w:spacing w:before="120" w:after="200"/>
              <w:rPr>
                <w:rFonts w:ascii="Arial" w:eastAsia="Times New Roman" w:hAnsi="Arial" w:cs="Arial"/>
                <w:sz w:val="19"/>
                <w:szCs w:val="19"/>
              </w:rPr>
            </w:pPr>
            <w:r>
              <w:rPr>
                <w:rFonts w:ascii="Arial" w:eastAsia="Times New Roman" w:hAnsi="Arial" w:cs="Arial"/>
                <w:sz w:val="19"/>
                <w:szCs w:val="19"/>
              </w:rPr>
              <w:t>Research proposal (max. 5 pages)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1554CDA" w14:textId="77777777" w:rsidR="00CB7745" w:rsidRDefault="00CB7745">
            <w:pPr>
              <w:spacing w:before="120" w:after="200"/>
              <w:rPr>
                <w:rFonts w:ascii="Arial" w:eastAsia="Times New Roman" w:hAnsi="Arial" w:cs="Arial"/>
                <w:sz w:val="19"/>
                <w:szCs w:val="19"/>
              </w:rPr>
            </w:pPr>
            <w:r>
              <w:rPr>
                <w:rFonts w:ascii="Arial" w:eastAsia="Times New Roman" w:hAnsi="Arial" w:cs="Arial"/>
                <w:sz w:val="19"/>
                <w:szCs w:val="19"/>
              </w:rPr>
              <w:t xml:space="preserve">This exposé – </w:t>
            </w:r>
            <w:r>
              <w:rPr>
                <w:rFonts w:ascii="Arial" w:eastAsia="Times New Roman" w:hAnsi="Arial" w:cs="Arial"/>
                <w:b/>
                <w:bCs/>
                <w:sz w:val="19"/>
                <w:szCs w:val="19"/>
              </w:rPr>
              <w:t>coordinate with Prof. Chueh before submission</w:t>
            </w:r>
            <w:r>
              <w:rPr>
                <w:rFonts w:ascii="Arial" w:eastAsia="Times New Roman" w:hAnsi="Arial" w:cs="Arial"/>
                <w:sz w:val="19"/>
                <w:szCs w:val="19"/>
              </w:rPr>
              <w:t xml:space="preserve"> (AvH requirement: independently developed, coordinated with the host)</w:t>
            </w:r>
          </w:p>
        </w:tc>
      </w:tr>
      <w:tr w:rsidR="00000000" w14:paraId="3A799EEA"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EAA95AA" w14:textId="77777777" w:rsidR="00CB7745" w:rsidRDefault="00CB7745">
            <w:pPr>
              <w:spacing w:before="120" w:after="200"/>
              <w:rPr>
                <w:rFonts w:ascii="Arial" w:eastAsia="Times New Roman" w:hAnsi="Arial" w:cs="Arial"/>
                <w:sz w:val="19"/>
                <w:szCs w:val="19"/>
              </w:rPr>
            </w:pPr>
            <w:r>
              <w:rPr>
                <w:rFonts w:ascii="Arial" w:eastAsia="Times New Roman" w:hAnsi="Arial" w:cs="Arial"/>
                <w:sz w:val="19"/>
                <w:szCs w:val="19"/>
              </w:rPr>
              <w:t>Complete list of publications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13C89A6" w14:textId="77777777" w:rsidR="00CB7745" w:rsidRDefault="00CB7745">
            <w:pPr>
              <w:spacing w:before="120" w:after="200"/>
              <w:rPr>
                <w:rFonts w:ascii="Arial" w:eastAsia="Times New Roman" w:hAnsi="Arial" w:cs="Arial"/>
                <w:sz w:val="19"/>
                <w:szCs w:val="19"/>
              </w:rPr>
            </w:pPr>
            <w:r>
              <w:rPr>
                <w:rFonts w:ascii="Arial" w:eastAsia="Times New Roman" w:hAnsi="Arial" w:cs="Arial"/>
                <w:sz w:val="19"/>
                <w:szCs w:val="19"/>
              </w:rPr>
              <w:t>Incl. conference contributions and patent application</w:t>
            </w:r>
          </w:p>
        </w:tc>
      </w:tr>
      <w:tr w:rsidR="00000000" w14:paraId="520BDF30"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6D2495A" w14:textId="77777777" w:rsidR="00CB7745" w:rsidRDefault="00CB7745">
            <w:pPr>
              <w:spacing w:before="120" w:after="200"/>
              <w:rPr>
                <w:rFonts w:ascii="Arial" w:eastAsia="Times New Roman" w:hAnsi="Arial" w:cs="Arial"/>
                <w:sz w:val="19"/>
                <w:szCs w:val="19"/>
              </w:rPr>
            </w:pPr>
            <w:r>
              <w:rPr>
                <w:rFonts w:ascii="Arial" w:eastAsia="Times New Roman" w:hAnsi="Arial" w:cs="Arial"/>
                <w:sz w:val="19"/>
                <w:szCs w:val="19"/>
              </w:rPr>
              <w:t>1–3 key publications with justification</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C54F370" w14:textId="77777777" w:rsidR="00CB7745" w:rsidRDefault="00CB7745">
            <w:pPr>
              <w:spacing w:before="120" w:after="200"/>
              <w:rPr>
                <w:rFonts w:ascii="Arial" w:eastAsia="Times New Roman" w:hAnsi="Arial" w:cs="Arial"/>
                <w:sz w:val="19"/>
                <w:szCs w:val="19"/>
              </w:rPr>
            </w:pPr>
            <w:r>
              <w:rPr>
                <w:rFonts w:ascii="Arial" w:eastAsia="Times New Roman" w:hAnsi="Arial" w:cs="Arial"/>
                <w:sz w:val="19"/>
                <w:szCs w:val="19"/>
              </w:rPr>
              <w:t>Recommendation: Chem. Rev. 2025 (command of the field, first author), Adv. Electron. Mater. 2026 (device innovation), Thin Solid Films 2024 (PLD methodology)</w:t>
            </w:r>
          </w:p>
        </w:tc>
      </w:tr>
      <w:tr w:rsidR="00000000" w14:paraId="45FC0741"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C7E0390" w14:textId="77777777" w:rsidR="00CB7745" w:rsidRDefault="00CB7745">
            <w:pPr>
              <w:spacing w:before="120" w:after="200"/>
              <w:rPr>
                <w:rFonts w:ascii="Arial" w:eastAsia="Times New Roman" w:hAnsi="Arial" w:cs="Arial"/>
                <w:sz w:val="19"/>
                <w:szCs w:val="19"/>
              </w:rPr>
            </w:pPr>
            <w:r>
              <w:rPr>
                <w:rFonts w:ascii="Arial" w:eastAsia="Times New Roman" w:hAnsi="Arial" w:cs="Arial"/>
                <w:sz w:val="19"/>
                <w:szCs w:val="19"/>
              </w:rPr>
              <w:t>Doctoral certificate / proof</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95B7DF5" w14:textId="77777777" w:rsidR="00CB7745" w:rsidRDefault="00CB7745">
            <w:pPr>
              <w:spacing w:before="120" w:after="200"/>
              <w:rPr>
                <w:rFonts w:ascii="Arial" w:eastAsia="Times New Roman" w:hAnsi="Arial" w:cs="Arial"/>
                <w:sz w:val="19"/>
                <w:szCs w:val="19"/>
              </w:rPr>
            </w:pPr>
            <w:r>
              <w:rPr>
                <w:rFonts w:ascii="Arial" w:eastAsia="Times New Roman" w:hAnsi="Arial" w:cs="Arial"/>
                <w:sz w:val="19"/>
                <w:szCs w:val="19"/>
              </w:rPr>
              <w:t>If applying before completion: declaration that the dissertation will be submitted within 6 months</w:t>
            </w:r>
          </w:p>
        </w:tc>
      </w:tr>
      <w:tr w:rsidR="00000000" w14:paraId="473AC50C"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0AF2E23" w14:textId="77777777" w:rsidR="00CB7745" w:rsidRDefault="00CB7745">
            <w:pPr>
              <w:spacing w:before="120" w:after="200"/>
              <w:rPr>
                <w:rFonts w:ascii="Arial" w:eastAsia="Times New Roman" w:hAnsi="Arial" w:cs="Arial"/>
                <w:sz w:val="19"/>
                <w:szCs w:val="19"/>
              </w:rPr>
            </w:pPr>
            <w:r>
              <w:rPr>
                <w:rFonts w:ascii="Arial" w:eastAsia="Times New Roman" w:hAnsi="Arial" w:cs="Arial"/>
                <w:sz w:val="19"/>
                <w:szCs w:val="19"/>
              </w:rPr>
              <w:t>Host’s statement + confirmation of research place (incl. mentoring agreement and co-funding commitment)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B89F9A4" w14:textId="77777777" w:rsidR="00CB7745" w:rsidRDefault="00CB7745">
            <w:pPr>
              <w:spacing w:before="120" w:after="200"/>
              <w:rPr>
                <w:rFonts w:ascii="Arial" w:eastAsia="Times New Roman" w:hAnsi="Arial" w:cs="Arial"/>
                <w:sz w:val="19"/>
                <w:szCs w:val="19"/>
              </w:rPr>
            </w:pPr>
            <w:r>
              <w:rPr>
                <w:rFonts w:ascii="Arial" w:eastAsia="Times New Roman" w:hAnsi="Arial" w:cs="Arial"/>
                <w:sz w:val="19"/>
                <w:szCs w:val="19"/>
              </w:rPr>
              <w:t>Prof. Chueh uploads directly to the AvH portal; raise the host contribution (approx. 1/3 of the fellowship; USA is a contributing country) early</w:t>
            </w:r>
          </w:p>
        </w:tc>
      </w:tr>
      <w:tr w:rsidR="00000000" w14:paraId="508D7034"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4A6273D" w14:textId="77777777" w:rsidR="00CB7745" w:rsidRDefault="00CB7745">
            <w:pPr>
              <w:spacing w:before="120" w:after="200"/>
              <w:rPr>
                <w:rFonts w:ascii="Arial" w:eastAsia="Times New Roman" w:hAnsi="Arial" w:cs="Arial"/>
                <w:sz w:val="19"/>
                <w:szCs w:val="19"/>
              </w:rPr>
            </w:pPr>
            <w:r>
              <w:rPr>
                <w:rFonts w:ascii="Arial" w:eastAsia="Times New Roman" w:hAnsi="Arial" w:cs="Arial"/>
                <w:sz w:val="19"/>
                <w:szCs w:val="19"/>
              </w:rPr>
              <w:t>Two expert reviews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53C2CBE" w14:textId="77777777" w:rsidR="00CB7745" w:rsidRDefault="00CB7745">
            <w:pPr>
              <w:spacing w:before="120" w:after="200"/>
              <w:rPr>
                <w:rFonts w:ascii="Arial" w:eastAsia="Times New Roman" w:hAnsi="Arial" w:cs="Arial"/>
                <w:sz w:val="19"/>
                <w:szCs w:val="19"/>
              </w:rPr>
            </w:pPr>
            <w:r>
              <w:rPr>
                <w:rFonts w:ascii="Arial" w:eastAsia="Times New Roman" w:hAnsi="Arial" w:cs="Arial"/>
                <w:sz w:val="19"/>
                <w:szCs w:val="19"/>
              </w:rPr>
              <w:t>Recommendation: Prof. R. Dittmann (doctoral supervisor) + one external, preferably international referee [e.g. from the NeuroSys consortium or the E-MRS environment]</w:t>
            </w:r>
          </w:p>
        </w:tc>
      </w:tr>
    </w:tbl>
    <w:p w14:paraId="5D166C68" w14:textId="77777777" w:rsidR="00CB7745" w:rsidRDefault="00CB7745">
      <w:pPr>
        <w:pStyle w:val="Heading2"/>
        <w:rPr>
          <w:rFonts w:ascii="Arial" w:eastAsia="Times New Roman" w:hAnsi="Arial" w:cs="Arial"/>
        </w:rPr>
      </w:pPr>
      <w:r>
        <w:rPr>
          <w:rFonts w:ascii="Arial" w:eastAsia="Times New Roman" w:hAnsi="Arial" w:cs="Arial"/>
        </w:rPr>
        <w:t>Fellowship benefits (for orientation, as of 2026)</w:t>
      </w:r>
    </w:p>
    <w:p w14:paraId="4049B2BD" w14:textId="77777777" w:rsidR="00CB7745" w:rsidRDefault="00CB7745">
      <w:pPr>
        <w:pStyle w:val="NormalWeb"/>
        <w:rPr>
          <w:rFonts w:ascii="Arial" w:hAnsi="Arial" w:cs="Arial"/>
          <w:sz w:val="21"/>
          <w:szCs w:val="21"/>
        </w:rPr>
      </w:pPr>
      <w:r>
        <w:rPr>
          <w:rFonts w:ascii="Arial" w:hAnsi="Arial" w:cs="Arial"/>
          <w:sz w:val="21"/>
          <w:szCs w:val="21"/>
        </w:rPr>
        <w:t>Base fellowship € 2,187.50/month (minus host contribution) + foreign allowance USA (€ 1,892 single or € 2,528–</w:t>
      </w:r>
      <w:r>
        <w:rPr>
          <w:rFonts w:ascii="Arial" w:hAnsi="Arial" w:cs="Arial"/>
          <w:sz w:val="21"/>
          <w:szCs w:val="21"/>
        </w:rPr>
        <w:t>2,807 with family) + research cost allowance € 312.50/month + travel lump sums; family benefits (partner allowance € 205, child allowance € 400/100); afterwards optionally the Feodor Lynen Return Fellowship (up to 12 months, € 3,600/month) to bridge until group funding. Applications accepted at any time; selection meetings February/June/October; success rate approx. 40 %.</w:t>
      </w:r>
    </w:p>
    <w:sectPr w:rsidR="00CB7745">
      <w:pgSz w:w="11906" w:h="16838"/>
      <w:pgMar w:top="1417" w:right="1417" w:bottom="1134"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noPunctuationKerning/>
  <w:characterSpacingControl w:val="doNotCompress"/>
  <w:compat>
    <w:doNotSnapToGridInCell/>
    <w:doNotWrapTextWithPunct/>
    <w:doNotUseEastAsianBreakRules/>
    <w:growAutofit/>
    <w:compatSetting w:name="compatibilityMode" w:uri="http://schemas.microsoft.com/office/word" w:val="15"/>
    <w:compatSetting w:name="differentiateMultirowTableHeaders" w:uri="http://schemas.microsoft.com/office/word" w:val="1"/>
    <w:compatSetting w:name="useWord2013TrackBottomHyphenation" w:uri="http://schemas.microsoft.com/office/word" w:val="0"/>
  </w:compat>
  <w:rsids>
    <w:rsidRoot w:val="00451C5E"/>
    <w:rsid w:val="00451C5E"/>
    <w:rsid w:val="00823E15"/>
    <w:rsid w:val="00CB7745"/>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6196508F"/>
  <w15:chartTrackingRefBased/>
  <w15:docId w15:val="{4FEAEAB7-6D4E-4258-8CF2-F4D647ED8E2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GB"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eastAsiaTheme="minorEastAsia"/>
      <w:sz w:val="24"/>
      <w:szCs w:val="24"/>
    </w:rPr>
  </w:style>
  <w:style w:type="paragraph" w:styleId="Heading1">
    <w:name w:val="heading 1"/>
    <w:basedOn w:val="Normal"/>
    <w:link w:val="Heading1Char"/>
    <w:uiPriority w:val="9"/>
    <w:qFormat/>
    <w:pPr>
      <w:spacing w:before="320" w:after="160"/>
      <w:outlineLvl w:val="0"/>
    </w:pPr>
    <w:rPr>
      <w:b/>
      <w:bCs/>
      <w:color w:val="1A5632"/>
      <w:kern w:val="36"/>
      <w:sz w:val="28"/>
      <w:szCs w:val="28"/>
    </w:rPr>
  </w:style>
  <w:style w:type="paragraph" w:styleId="Heading2">
    <w:name w:val="heading 2"/>
    <w:basedOn w:val="Normal"/>
    <w:link w:val="Heading2Char"/>
    <w:uiPriority w:val="9"/>
    <w:qFormat/>
    <w:pPr>
      <w:spacing w:before="260" w:after="120"/>
      <w:outlineLvl w:val="1"/>
    </w:pPr>
    <w:rPr>
      <w:b/>
      <w:bCs/>
      <w:color w:val="1A5632"/>
    </w:rPr>
  </w:style>
  <w:style w:type="paragraph" w:styleId="Heading3">
    <w:name w:val="heading 3"/>
    <w:basedOn w:val="Normal"/>
    <w:link w:val="Heading3Char"/>
    <w:uiPriority w:val="9"/>
    <w:qFormat/>
    <w:pPr>
      <w:spacing w:before="200" w:after="100"/>
      <w:outlineLvl w:val="2"/>
    </w:pPr>
    <w:rPr>
      <w:b/>
      <w:bCs/>
      <w:i/>
      <w:iCs/>
      <w:color w:val="333333"/>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Pr>
      <w:rFonts w:asciiTheme="minorHAnsi" w:eastAsiaTheme="majorEastAsia" w:hAnsiTheme="minorHAnsi" w:cstheme="majorBidi"/>
      <w:color w:val="0F4761" w:themeColor="accent1" w:themeShade="BF"/>
      <w:sz w:val="28"/>
      <w:szCs w:val="28"/>
    </w:rPr>
  </w:style>
  <w:style w:type="paragraph" w:customStyle="1" w:styleId="msonormal0">
    <w:name w:val="msonormal"/>
    <w:basedOn w:val="Normal"/>
    <w:pPr>
      <w:spacing w:after="140"/>
      <w:jc w:val="both"/>
    </w:pPr>
  </w:style>
  <w:style w:type="paragraph" w:styleId="NormalWeb">
    <w:name w:val="Normal (Web)"/>
    <w:basedOn w:val="Normal"/>
    <w:uiPriority w:val="99"/>
    <w:semiHidden/>
    <w:unhideWhenUsed/>
    <w:pPr>
      <w:spacing w:after="140"/>
      <w:jc w:val="both"/>
    </w:pPr>
  </w:style>
  <w:style w:type="paragraph" w:customStyle="1" w:styleId="muted">
    <w:name w:val="muted"/>
    <w:basedOn w:val="Normal"/>
    <w:pPr>
      <w:spacing w:before="100" w:beforeAutospacing="1" w:after="60"/>
      <w:jc w:val="both"/>
    </w:pPr>
    <w:rPr>
      <w:i/>
      <w:iCs/>
      <w:color w:val="777777"/>
      <w:sz w:val="18"/>
      <w:szCs w:val="18"/>
    </w:rPr>
  </w:style>
  <w:style w:type="paragraph" w:customStyle="1" w:styleId="center">
    <w:name w:val="center"/>
    <w:basedOn w:val="Normal"/>
    <w:pPr>
      <w:spacing w:before="100" w:beforeAutospacing="1" w:after="60"/>
      <w:jc w:val="center"/>
    </w:pPr>
  </w:style>
  <w:style w:type="paragraph" w:customStyle="1" w:styleId="pb">
    <w:name w:val="pb"/>
    <w:basedOn w:val="Normal"/>
    <w:pPr>
      <w:pageBreakBefore/>
      <w:spacing w:before="100" w:beforeAutospacing="1" w:after="60"/>
      <w:jc w:val="both"/>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074693967">
      <w:marLeft w:val="0"/>
      <w:marRight w:val="0"/>
      <w:marTop w:val="0"/>
      <w:marBottom w:val="0"/>
      <w:divBdr>
        <w:top w:val="none" w:sz="0" w:space="0" w:color="auto"/>
        <w:left w:val="none" w:sz="0" w:space="0" w:color="auto"/>
        <w:bottom w:val="none" w:sz="0" w:space="0" w:color="auto"/>
        <w:right w:val="none" w:sz="0" w:space="0" w:color="auto"/>
      </w:divBdr>
    </w:div>
  </w:divs>
  <w:encoding w:val="unicode"/>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2</Pages>
  <Words>2442</Words>
  <Characters>13924</Characters>
  <Application>Microsoft Office Word</Application>
  <DocSecurity>4</DocSecurity>
  <Lines>116</Lines>
  <Paragraphs>32</Paragraphs>
  <ScaleCrop>false</ScaleCrop>
  <Company/>
  <LinksUpToDate>false</LinksUpToDate>
  <CharactersWithSpaces>16334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Feodor Lynen Research Fellowship - Application Buczek (English)</dc:title>
  <dc:subject/>
  <dc:creator>Buczek, Max</dc:creator>
  <cp:keywords/>
  <dc:description/>
  <cp:lastModifiedBy>Buczek, Max</cp:lastModifiedBy>
  <cp:revision>2</cp:revision>
  <dcterms:created xsi:type="dcterms:W3CDTF">2026-08-09T14:43:00Z</dcterms:created>
  <dcterms:modified xsi:type="dcterms:W3CDTF">2026-08-09T14:43:00Z</dcterms:modified>
</cp:coreProperties>
</file>