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C966" w14:textId="77777777" w:rsidR="00135B71" w:rsidRDefault="00135B71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Materialsysteme im Vergleich – Entscheidungsgrundlage für das Antragsportfolio</w:t>
      </w:r>
    </w:p>
    <w:p w14:paraId="370B39CD" w14:textId="77777777" w:rsidR="00135B71" w:rsidRDefault="00135B71">
      <w:pPr>
        <w:pStyle w:val="muted"/>
        <w:spacing w:before="0" w:beforeAutospacing="0" w:after="140"/>
        <w:rPr>
          <w:rFonts w:ascii="Arial" w:hAnsi="Arial" w:cs="Arial"/>
        </w:rPr>
      </w:pPr>
      <w:r>
        <w:rPr>
          <w:rFonts w:ascii="Arial" w:hAnsi="Arial" w:cs="Arial"/>
        </w:rPr>
        <w:t xml:space="preserve">Stand: 09.08.2026. Claude-Code-generiert auf Basis von sieben Literatur-Tiefenrecherchen (~150 verifizierte Referenzen); inhaltlich noch nicht gegengeprüft. Jeder Materialordner (Material_1 … Material_5) enthält ein vollständiges, individuell angepasstes Antragsset: Feodor-Lynen-Exposé </w:t>
      </w:r>
      <w:r>
        <w:rPr>
          <w:rFonts w:ascii="Arial" w:hAnsi="Arial" w:cs="Arial"/>
        </w:rPr>
        <w:t>(Pilotprojekt bei Chueh/Stanford), ERC Starting Grant (COVMAP) und DFG Emmy Noether (COMET-Ox), jeweils mit dem betreffenden System als Lynen-Pilotmaterial.</w:t>
      </w:r>
    </w:p>
    <w:p w14:paraId="44B54F1B" w14:textId="77777777" w:rsidR="00135B71" w:rsidRDefault="00135B71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Kurzübersicht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641"/>
        <w:gridCol w:w="2211"/>
        <w:gridCol w:w="2152"/>
        <w:gridCol w:w="2161"/>
        <w:gridCol w:w="1441"/>
      </w:tblGrid>
      <w:tr w:rsidR="00000000" w14:paraId="6AD2AE35" w14:textId="77777777"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88C48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System</w:t>
            </w:r>
          </w:p>
        </w:tc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A9F51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Kovalenz-Achse (Literatur)</w:t>
            </w:r>
          </w:p>
        </w:tc>
        <w:tc>
          <w:tcPr>
            <w:tcW w:w="8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EB554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Schalt-Achse (Literatur)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F1541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Stärken</w:t>
            </w:r>
          </w:p>
        </w:tc>
        <w:tc>
          <w:tcPr>
            <w:tcW w:w="1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F523A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Schwächen / Risiken</w:t>
            </w: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A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25F65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Charakter</w:t>
            </w:r>
          </w:p>
        </w:tc>
      </w:tr>
      <w:tr w:rsidR="00000000" w14:paraId="084531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225A9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 – SrTi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1-x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Fe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3-δ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(STF)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B885B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Defektchemie in geschlossener Form: E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g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(x), ΔH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red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(x) (Rothschild/Tuller 2006); XAS-Daten über die Reihe (Vračar 2007)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ADB3B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Intrinsisch (eightwise, Pt-Elektroden; Muenstermann 2010); Graphen-operando auf identischer Plattform demonstriert (Baeumer 2016)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94DEA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Einziges System, das alle Kriterien erfüllt: intrinsisch + Graphen-versiegelbar + quantifizierte Deskriptoren + mechanismus-stabil (x ≤ 0,3). Graphen wissenschaftlich notwendig (O-Austausch mit Luftfeuchte sonst nachgewiesen, Heisig 2018)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EB790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Kleinerer E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-Hub als LSFO; verdünnte Fe-Konzentrationen = subtilere Kovalenzänderungen; Fe:STO ist Jü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lich-Kernterrain (Abgrenzungsfrage bei Emmy Noether)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4F9EF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Empfehlung: sicherste Wahl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(risikoarm, sauberste Physik)</w:t>
            </w:r>
          </w:p>
        </w:tc>
      </w:tr>
      <w:tr w:rsidR="00000000" w14:paraId="2E8EB0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70F00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 – Pr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1-x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Ca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MnO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(PCMO)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76EC7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Kovalenz vs. x im OER-Kontext quantifiziert (JPCC 2022); Manganit-XAS-Basis (Abbate 1992)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1CB32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Best-dokumentierter Perowskit-Memristor; einzige komplette x-Serie des Feldes (Asanuma 2009: Optimum x ≈ 0,4)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CFD3B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Eigene Kernexpertise (Promotion, Chem.-Rev.-Erstautor); Asanuma-Datensatz als publizierte Benchmark; mechanismus-stabil (isolierend über ganze Reihe, kein Brownmillerit)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B7F86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Schaltet allein kaum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– braucht reaktive Ti/AlO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-Elektrode, deren Redoxchemie dominiert (Herpers 2014); inerte Pt-Geometrie = schwaches Schalten; Deskriptorstudie misst ggf. die Grenzfläche statt der Kovalenz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80F45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De-Risking-Variante mit bekanntem Confounder</w:t>
            </w:r>
          </w:p>
        </w:tc>
      </w:tr>
      <w:tr w:rsidR="00000000" w14:paraId="05D013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41695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 – La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1-x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Sr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FeO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3-δ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(LSFO)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3151E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Größter dokumentierter E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-Hub (~4 eV → &lt;1 eV, Ritzmann 2013); klassische Kovalenz-XAS (Abbate 1992)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DE235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Endglieder belegt (SrFeO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topotaktisch ON/OFF ~10</w:t>
            </w:r>
            <w:r>
              <w:rPr>
                <w:rFonts w:ascii="Arial" w:eastAsia="Times New Roman" w:hAnsi="Arial" w:cs="Arial"/>
                <w:sz w:val="18"/>
                <w:szCs w:val="18"/>
                <w:vertAlign w:val="superscript"/>
              </w:rPr>
              <w:t>4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; LaFeO</w:t>
            </w:r>
            <w:r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3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rudimentär); Zwischenkompositionen: keine einzige Memristor-Studie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C01F1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Maximale Deskriptor-Spannweite; größte unbesetzte Lücke; Machbarkeitsanker Nizet 2024 (&gt;4 Größenordnungen Leitfähigkeitssteuerung)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34999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Mechanismuswechsel in der Serie (topotaktischer Brownmillerit-Übergang am Sr-Ende) – Kovalenz nicht überall die einzige Variable; Schalten der Zwischenkompositionen unbewiesen (Explorationsrisiko)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B649F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Größte Lücke, mittleres Risiko</w:t>
            </w:r>
          </w:p>
        </w:tc>
      </w:tr>
      <w:tr w:rsidR="00000000" w14:paraId="2DF23E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0A419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 – La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1-x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Sr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MnO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3-δ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(LSMO)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41EFC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Kanonisch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: die Kovalenz-vs.-Dotierung-Spektroskopie wurde auf LSMO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kalibriert (Abbate 1992)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58377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Als aktive Schicht belegt (Moreno 2010, Liu 2024, in-situ-TEM Yao 2017); nur eine 3-Punkt-x-Serie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(Choi 2013, gesputtert, reaktive Al-Elektroden)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11E83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Stärkste Spektroskopie-Verankerung; Test der schärfsten Frage: kollabiert das Schaltfenster am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dotierungsgetriebenen Metall-Übergang?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C367E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Metallisch ab x ≈ 0,17 → begrenzter HRS/ON-OFF; Metall-Isolator-Übergang quer durch die Serie als zweite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Variable; dünne Schalt-Literatur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374BD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Spektroskopie-Anker, physikalisch anspruchsvoll</w:t>
            </w:r>
          </w:p>
        </w:tc>
      </w:tr>
      <w:tr w:rsidR="00000000" w14:paraId="095437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66E6F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 – La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NiO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4+δ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/ La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2-x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Sr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x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NiO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vertAlign w:val="subscript"/>
              </w:rPr>
              <w:t>4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(LNO)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776F6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Kanonische Ligandenloch-XAS der Sr-Reihe (Kuiper/Sawatzky 1991); δ spektroskopisch quantifizierbar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B7EA7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Formierfrei/analog demonstriert (Khuu 2022); δ-Serie wählt Mechanismus (Koroleva 2024); operando-VCM belegt (2025) – aber alle Devices mit reaktiver TiN-Interlayer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6AADA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Sauerstoffreservoir liegt </w:t>
            </w:r>
            <w:r>
              <w:rPr>
                <w:rFonts w:ascii="Arial" w:eastAsia="Times New Roman" w:hAnsi="Arial" w:cs="Arial"/>
                <w:i/>
                <w:iCs/>
                <w:sz w:val="18"/>
                <w:szCs w:val="18"/>
              </w:rPr>
              <w:t>per Konstruktion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im Material (Interstitials); zwei unabhängige Deskriptorachsen (δ, x); höchster Neuheitsgrad: erster intrinsischer Interstitial-Memristor wäre allein publikationsstark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55365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Kernfrage unbewiesen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: intrinsisches Schalten ohne TiN nie gezeigt (expliziter Negativbefund); Streifen-/Ladungsordnung und Metallisierung in der Sr-Reihe; Entscheidungstor nötig (Monat 12)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D409A" w14:textId="77777777" w:rsidR="00135B71" w:rsidRDefault="00135B71">
            <w:pPr>
              <w:spacing w:before="120" w:after="200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High-Risk / High-Gain</w:t>
            </w:r>
          </w:p>
        </w:tc>
      </w:tr>
    </w:tbl>
    <w:p w14:paraId="7EF1583B" w14:textId="77777777" w:rsidR="00135B71" w:rsidRDefault="00135B71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Einordnung und Empfehlung</w:t>
      </w:r>
    </w:p>
    <w:p w14:paraId="0BD2BBEF" w14:textId="77777777" w:rsidR="00135B71" w:rsidRDefault="00135B71">
      <w:pPr>
        <w:numPr>
          <w:ilvl w:val="0"/>
          <w:numId w:val="1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Sicherste Einzelwahl für das Lynen-Pilotprojekt: STF (Ordner 1).</w:t>
      </w:r>
      <w:r>
        <w:rPr>
          <w:rFonts w:ascii="Arial" w:eastAsia="Times New Roman" w:hAnsi="Arial" w:cs="Arial"/>
          <w:sz w:val="21"/>
          <w:szCs w:val="21"/>
        </w:rPr>
        <w:t xml:space="preserve"> Es ist das einzige System, in dem intrinsisches Schalten, Graphen-Spektroskopie-Zugang, quantifizierte Deskriptoren und Mechanismus-Stabilität bereits publiziert koexistieren – </w:t>
      </w:r>
      <w:r>
        <w:rPr>
          <w:rFonts w:ascii="Arial" w:eastAsia="Times New Roman" w:hAnsi="Arial" w:cs="Arial"/>
          <w:sz w:val="21"/>
          <w:szCs w:val="21"/>
        </w:rPr>
        <w:t>die Studie kann sofort mit der Korrelationsfrage beginnen statt mit Machbarkeitsnachweisen.</w:t>
      </w:r>
    </w:p>
    <w:p w14:paraId="2E8073E7" w14:textId="77777777" w:rsidR="00135B71" w:rsidRDefault="00135B71">
      <w:pPr>
        <w:numPr>
          <w:ilvl w:val="0"/>
          <w:numId w:val="1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Stärkste Story bei Erfolg: LNO (Ordner 5)</w:t>
      </w:r>
      <w:r>
        <w:rPr>
          <w:rFonts w:ascii="Arial" w:eastAsia="Times New Roman" w:hAnsi="Arial" w:cs="Arial"/>
          <w:sz w:val="21"/>
          <w:szCs w:val="21"/>
        </w:rPr>
        <w:t xml:space="preserve"> – aber mit echtem Machbarkeitsrisiko im Kern; nur wählen, wenn das Entscheidungstor-Konzept (Rückfall auf TiN-Benchmark) den Gutachtern und dem Gastgeber als robust vermittelbar ist.</w:t>
      </w:r>
    </w:p>
    <w:p w14:paraId="10EB219D" w14:textId="77777777" w:rsidR="00135B71" w:rsidRDefault="00135B71">
      <w:pPr>
        <w:numPr>
          <w:ilvl w:val="0"/>
          <w:numId w:val="1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Größte Lücke: LSFO (Ordner 3)</w:t>
      </w:r>
      <w:r>
        <w:rPr>
          <w:rFonts w:ascii="Arial" w:eastAsia="Times New Roman" w:hAnsi="Arial" w:cs="Arial"/>
          <w:sz w:val="21"/>
          <w:szCs w:val="21"/>
        </w:rPr>
        <w:t>; der Mechanismuswechsel am Sr-Ende ist dort ehrlich als kartierbare Grenze geframt, bleibt aber ein Confounder für die reine Kovalenz-Frage.</w:t>
      </w:r>
    </w:p>
    <w:p w14:paraId="27753C75" w14:textId="77777777" w:rsidR="00135B71" w:rsidRDefault="00135B71">
      <w:pPr>
        <w:numPr>
          <w:ilvl w:val="0"/>
          <w:numId w:val="1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PCMO (Ordner 2)</w:t>
      </w:r>
      <w:r>
        <w:rPr>
          <w:rFonts w:ascii="Arial" w:eastAsia="Times New Roman" w:hAnsi="Arial" w:cs="Arial"/>
          <w:sz w:val="21"/>
          <w:szCs w:val="21"/>
        </w:rPr>
        <w:t xml:space="preserve"> </w:t>
      </w:r>
      <w:r>
        <w:rPr>
          <w:rFonts w:ascii="Arial" w:eastAsia="Times New Roman" w:hAnsi="Arial" w:cs="Arial"/>
          <w:sz w:val="21"/>
          <w:szCs w:val="21"/>
        </w:rPr>
        <w:t xml:space="preserve">maximiert persönliches De-Risking, trägt aber den bekannten Reaktivelektroden-Confounder in sich; </w:t>
      </w:r>
      <w:r>
        <w:rPr>
          <w:rFonts w:ascii="Arial" w:eastAsia="Times New Roman" w:hAnsi="Arial" w:cs="Arial"/>
          <w:b/>
          <w:bCs/>
          <w:sz w:val="21"/>
          <w:szCs w:val="21"/>
        </w:rPr>
        <w:t>LSMO (Ordner 4)</w:t>
      </w:r>
      <w:r>
        <w:rPr>
          <w:rFonts w:ascii="Arial" w:eastAsia="Times New Roman" w:hAnsi="Arial" w:cs="Arial"/>
          <w:sz w:val="21"/>
          <w:szCs w:val="21"/>
        </w:rPr>
        <w:t xml:space="preserve"> ist der beste Spektroskopie-Anker, physikalisch aber durch den Metall-Übergang belastet.</w:t>
      </w:r>
    </w:p>
    <w:p w14:paraId="579D25BA" w14:textId="77777777" w:rsidR="00135B71" w:rsidRDefault="00135B71">
      <w:pPr>
        <w:numPr>
          <w:ilvl w:val="0"/>
          <w:numId w:val="1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Kombinierbarkeit:</w:t>
      </w:r>
      <w:r>
        <w:rPr>
          <w:rFonts w:ascii="Arial" w:eastAsia="Times New Roman" w:hAnsi="Arial" w:cs="Arial"/>
          <w:sz w:val="21"/>
          <w:szCs w:val="21"/>
        </w:rPr>
        <w:t xml:space="preserve"> Die großen Anträ</w:t>
      </w:r>
      <w:r>
        <w:rPr>
          <w:rFonts w:ascii="Arial" w:eastAsia="Times New Roman" w:hAnsi="Arial" w:cs="Arial"/>
          <w:sz w:val="21"/>
          <w:szCs w:val="21"/>
        </w:rPr>
        <w:t>ge (ERC/Emmy Noether) behalten in allen Varianten das Drei-Familien-Programm (LSFO/LSMO/LSCO) als Kern; der Ordner bestimmt jeweils nur, welches System als Lynen-Pilot und Vorarbeit dient. Eine denkbare Kompromissstrategie: STF als Lynen-Pilot (sicher), LSFO als Reihe 1 des Gruppenprogramms (größte Lücke), LNO als exploratives Arbeitspaket der zweiten Förderphase.</w:t>
      </w:r>
    </w:p>
    <w:p w14:paraId="42BD2683" w14:textId="77777777" w:rsidR="00135B71" w:rsidRDefault="00135B71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Offene Punkte vor Einreichung (alle Varianten)</w:t>
      </w:r>
    </w:p>
    <w:p w14:paraId="6D7B568A" w14:textId="77777777" w:rsidR="00135B71" w:rsidRDefault="00135B71">
      <w:pPr>
        <w:numPr>
          <w:ilvl w:val="0"/>
          <w:numId w:val="2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Verteidigungsdatum, Patentdetails, Kooperationszusagen (Chueh, Synchrotron-, DFT-Partner), Wahl der Gastinstitution (RWTH vs. FZJ)</w:t>
      </w:r>
    </w:p>
    <w:p w14:paraId="2FB3DC01" w14:textId="77777777" w:rsidR="00135B71" w:rsidRDefault="00135B71">
      <w:pPr>
        <w:numPr>
          <w:ilvl w:val="0"/>
          <w:numId w:val="2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Manuskript-Platzhalter [P1]/[E4] mit realen Ergebnissen füllen; alle Referenzen per DOI gegenprüfen (websearch-verifiziert, Einzelangaben ohne Gewähr)</w:t>
      </w:r>
    </w:p>
    <w:p w14:paraId="220BCD2F" w14:textId="77777777" w:rsidR="00135B71" w:rsidRDefault="00135B71">
      <w:pPr>
        <w:numPr>
          <w:ilvl w:val="0"/>
          <w:numId w:val="2"/>
        </w:numPr>
        <w:spacing w:before="100" w:beforeAutospacing="1" w:after="60"/>
        <w:jc w:val="both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>ERC-/Emmy-Noether-Fassungen sind als Zukunftsszenario aus dem laufenden Lynen-Aufenthalt geschrieben – vor realer Nutzung an die tatsächliche Situation anpassen</w:t>
      </w:r>
    </w:p>
    <w:sectPr w:rsidR="00135B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40CE9"/>
    <w:multiLevelType w:val="multilevel"/>
    <w:tmpl w:val="D09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422DF"/>
    <w:multiLevelType w:val="multilevel"/>
    <w:tmpl w:val="EB8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390495">
    <w:abstractNumId w:val="0"/>
  </w:num>
  <w:num w:numId="2" w16cid:durableId="2094543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44"/>
    <w:rsid w:val="00135B71"/>
    <w:rsid w:val="00172144"/>
    <w:rsid w:val="0082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7CC664"/>
  <w15:chartTrackingRefBased/>
  <w15:docId w15:val="{4FEAEAB7-6D4E-4258-8CF2-F4D647ED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20" w:after="160"/>
      <w:outlineLvl w:val="0"/>
    </w:pPr>
    <w:rPr>
      <w:b/>
      <w:bCs/>
      <w:color w:val="1F3864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260" w:after="120"/>
      <w:outlineLvl w:val="1"/>
    </w:pPr>
    <w:rPr>
      <w:b/>
      <w:bCs/>
      <w:color w:val="1F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4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40"/>
      <w:jc w:val="both"/>
    </w:pPr>
  </w:style>
  <w:style w:type="paragraph" w:customStyle="1" w:styleId="muted">
    <w:name w:val="muted"/>
    <w:basedOn w:val="Normal"/>
    <w:pPr>
      <w:spacing w:before="100" w:beforeAutospacing="1" w:after="60"/>
      <w:jc w:val="both"/>
    </w:pPr>
    <w:rPr>
      <w:i/>
      <w:iCs/>
      <w:color w:val="77777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864</Words>
  <Characters>4926</Characters>
  <Application>Microsoft Office Word</Application>
  <DocSecurity>4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Materialsysteme im Vergleich - Antragsportfolio</dc:title>
  <dc:subject/>
  <dc:creator>Buczek, Max</dc:creator>
  <cp:keywords/>
  <dc:description/>
  <cp:lastModifiedBy>Buczek, Max</cp:lastModifiedBy>
  <cp:revision>2</cp:revision>
  <dcterms:created xsi:type="dcterms:W3CDTF">2026-08-09T14:43:00Z</dcterms:created>
  <dcterms:modified xsi:type="dcterms:W3CDTF">2026-08-09T14:43:00Z</dcterms:modified>
</cp:coreProperties>
</file>