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[41] on a large-area PLD system of the type I have already used for wafer-scale memristive heterostructures [E3]; combinatorial hardware of this class covers substrates up to four inches [42], and epitaxial perovskite composition spreads are established [43]. Spatially resolved soft XAS turns such a wafer into a continuous covalency map – on-the-fly L-edge mapping of a combinatorial spread with a 0.5 mm beam has recently been demonstrated [44], and beamlines built for automated high-throughput NEXAFS exist for exactly this duty cycle [45] – while automated prober mapping of device arrays along the same gradient track yields the corresponding switching map [46].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[41], cation transfer is fluence- and pO2-sensitive and therefore calibrated per position [47],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[48], chemical expansion (high-temperature XRD) or a reference of known stoichiometry; optical absorption provides a second, fully imageable δ read-out [50]. Thin-film defect chemistry of exactly this type is established for ceria films [48] and for (La,Sr)FeO3-δ films [49],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[45].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[34, 35] within the Zaanen-Sawatzky-Allen classification [33].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[38]. (D2) At six to ten support points per series, cluster-model analysis of the transition-metal 2p core-level satellites and of the L2,3 multiplets yields the charge-transfer energy, the Coulomb energy and the transfer integrals, and hence w_L itself [35], evaluated with charge-transfer multiplet and Wannier-based multiplet ligand-field codes [51, 52].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[45],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the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1–8,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8): validated sample series with complete descriptor set. In parallel with the discrete samples, a gradient wafer of the same system is grown in continuous-compositional-spread mode [41, 42]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Intrinsic devices and switching characterisation (months 6–12,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[41]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[42]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[43] A. Venimadhav, K. A. Yates, M. G. Blamire, Scanning Raman Spectroscopy for Characterizing Compositionally Spread Films. Journal of Combinatorial Chemistry 7, 85–89 (2005).</w:t>
      </w:r>
    </w:p>
    <w:p>
      <w:pPr>
        <w:spacing w:after="120"/>
      </w:pPr>
      <w:r>
        <w:rPr>
          <w:sz w:val="18"/>
          <w:szCs w:val="18"/>
        </w:rPr>
        <w:t xml:space="preserve">[44]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[45]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[50]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[51] E. Stavitski, F. M. F. de Groot, The CTM4XAS program for EELS and XAS spectral shape analysis of transition metal L edges. Micron 41, 687-694 (2010).</w:t>
      </w:r>
    </w:p>
    <w:p>
      <w:pPr>
        <w:spacing w:after="120"/>
      </w:pPr>
      <w:r>
        <w:rPr>
          <w:sz w:val="18"/>
          <w:szCs w:val="18"/>
        </w:rPr>
        <w:t xml:space="preserve">[52]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2026-08-10T22:56:21.826Z</dcterms:created>
  <dcterms:modified xsi:type="dcterms:W3CDTF">2026-08-10T22:56:21.826Z</dcterms:modified>
</cp:coreProperties>
</file>

<file path=docProps/custom.xml><?xml version="1.0" encoding="utf-8"?>
<Properties xmlns="http://schemas.openxmlformats.org/officeDocument/2006/custom-properties" xmlns:vt="http://schemas.openxmlformats.org/officeDocument/2006/docPropsVTypes"/>
</file>