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30];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[34, 35] within the Zaanen-Sawatzky-Allen classification [33].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[38]. (D2) At six to ten support points per series, cluster-model analysis of the transition-metal 2p core-level satellites and of the L2,3 multiplets yields the charge-transfer energy, the Coulomb energy and the transfer integrals, and hence w_L itself [35], evaluated with charge-transfer multiplet and Wannier-based multiplet ligand-field codes [51, 52].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[45], so the calibration is not carried across separate beamtimes. The descriptor is finally held to a model comparison against formal valence, tolerance factor and the uncalibrated pre-edge area; if it does not outperform them, that is reported as the result.</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pPr>
        <w:spacing w:after="60"/>
        <w:ind w:hanging="480"/>
        <w:divId w:val="208340846"/>
        <w:rPr>
          <w:rFonts w:ascii="Arial" w:hAnsi="Arial" w:cs="Arial"/>
          <w:sz w:val="18"/>
          <w:szCs w:val="18"/>
        </w:rPr>
      </w:pPr>
      <w:r>
        <w:rPr>
          <w:rFonts w:ascii="Arial" w:hAnsi="Arial" w:cs="Arial"/>
          <w:sz w:val="18"/>
          <w:szCs w:val="18"/>
        </w:rPr>
        <w:t xml:space="preserve">[29] A. Sarantopoulos, K. Lange, F. Rivadulla, S. Menzel, R. Dittmann, Resistive Switching Acceleration Induced by Thermal Confinement. Advanced Electronic Materials 11, 2400555 (2025).</w:t>
      </w:r>
    </w:p>
    <w:p>
      <w:pPr>
        <w:spacing w:after="60"/>
        <w:ind w:hanging="480"/>
        <w:divId w:val="208340846"/>
        <w:rPr>
          <w:rFonts w:ascii="Arial" w:hAnsi="Arial" w:cs="Arial"/>
          <w:sz w:val="18"/>
          <w:szCs w:val="18"/>
        </w:rPr>
      </w:pPr>
      <w:r>
        <w:rPr>
          <w:rFonts w:ascii="Arial" w:hAnsi="Arial" w:cs="Arial"/>
          <w:sz w:val="18"/>
          <w:szCs w:val="18"/>
        </w:rPr>
        <w:t xml:space="preserve">[30] M. Mladenović, M. Kaniselvan, C. Weilenmann, A. Emboras, M. Luisier, Termination-Dependent Resistive Switching in SrTiO3 Valence Change Memory Cells. ACS Applied Electronic Materials 7, 2839–2847 (2025).</w:t>
      </w:r>
    </w:p>
    <w:p>
      <w:pPr>
        <w:spacing w:after="60"/>
        <w:ind w:hanging="480"/>
        <w:divId w:val="208340846"/>
        <w:rPr>
          <w:rFonts w:ascii="Arial" w:hAnsi="Arial" w:cs="Arial"/>
          <w:sz w:val="18"/>
          <w:szCs w:val="18"/>
        </w:rPr>
      </w:pPr>
      <w:r>
        <w:rPr>
          <w:rFonts w:ascii="Arial" w:hAnsi="Arial" w:cs="Arial"/>
          <w:sz w:val="18"/>
          <w:szCs w:val="18"/>
        </w:rPr>
        <w:t xml:space="preserve">[31] K.-J. Lee, C.-H. Wu, C.-J. Lee, D.-W. Chou, N.-F. Wang, Y.-H. Wang, Reset-Voltage Controlled Resistance-State and Applications of Forming-Free Fe-Doped SrTiO3 Thin-Film Memristor. Materials 17, 5021 (2024).</w:t>
      </w:r>
    </w:p>
    <w:p>
      <w:pPr>
        <w:spacing w:after="60"/>
        <w:ind w:hanging="480"/>
        <w:divId w:val="208340846"/>
        <w:rPr>
          <w:rFonts w:ascii="Arial" w:hAnsi="Arial" w:cs="Arial"/>
          <w:sz w:val="18"/>
          <w:szCs w:val="18"/>
        </w:rPr>
      </w:pPr>
      <w:r>
        <w:rPr>
          <w:rFonts w:ascii="Arial" w:hAnsi="Arial" w:cs="Arial"/>
          <w:sz w:val="18"/>
          <w:szCs w:val="18"/>
        </w:rPr>
        <w:t xml:space="preserve">[32] E. Mikheev, J. Hwang, A. P. Kajdos, A. J. Hauser, S. Stemmer, Tailoring resistive switching in Pt/SrTiO3 junctions by stoichiometry control. Scientific Reports 5, 11079 (2015).</w:t>
      </w:r>
    </w:p>
    <w:p>
      <w:pPr>
        <w:spacing w:after="60"/>
        <w:ind w:hanging="480"/>
        <w:divId w:val="208340846"/>
        <w:rPr>
          <w:rFonts w:ascii="Arial" w:hAnsi="Arial" w:cs="Arial"/>
          <w:sz w:val="18"/>
          <w:szCs w:val="18"/>
        </w:rPr>
      </w:pPr>
      <w:r>
        <w:rPr>
          <w:rFonts w:ascii="Arial" w:hAnsi="Arial" w:cs="Arial"/>
          <w:sz w:val="18"/>
          <w:szCs w:val="18"/>
        </w:rPr>
        <w:t xml:space="preserve">[33] J. Zaanen, G. A. Sawatzky, J. W. Allen, Band gaps and electronic structure of transition-metal compounds. Physical Review Letters 55, 418–421 (1985).</w:t>
      </w:r>
    </w:p>
    <w:p>
      <w:pPr>
        <w:spacing w:after="60"/>
        <w:ind w:hanging="480"/>
        <w:divId w:val="208340846"/>
        <w:rPr>
          <w:rFonts w:ascii="Arial" w:hAnsi="Arial" w:cs="Arial"/>
          <w:sz w:val="18"/>
          <w:szCs w:val="18"/>
        </w:rPr>
      </w:pPr>
      <w:r>
        <w:rPr>
          <w:rFonts w:ascii="Arial" w:hAnsi="Arial" w:cs="Arial"/>
          <w:sz w:val="18"/>
          <w:szCs w:val="18"/>
        </w:rPr>
        <w:t xml:space="preserve">[34] A. Fujimori, F. Minami, Valence-band photoemission and optical absorption in nickel compounds. Physical Review B 30, 957–971 (1984).</w:t>
      </w:r>
    </w:p>
    <w:p>
      <w:pPr>
        <w:spacing w:after="60"/>
        <w:ind w:hanging="480"/>
        <w:divId w:val="208340846"/>
        <w:rPr>
          <w:rFonts w:ascii="Arial" w:hAnsi="Arial" w:cs="Arial"/>
          <w:sz w:val="18"/>
          <w:szCs w:val="18"/>
        </w:rPr>
      </w:pPr>
      <w:r>
        <w:rPr>
          <w:rFonts w:ascii="Arial" w:hAnsi="Arial" w:cs="Arial"/>
          <w:sz w:val="18"/>
          <w:szCs w:val="18"/>
        </w:rPr>
        <w:t xml:space="preserve">[35] A. E. Bocquet, T. Mizokawa, T. Saitoh, H. Namatame, A. Fujimori, Electronic structure of 3d-transition-metal compounds by analysis of the 2p core-level photoemission spectra. Physical Review B 46, 3771–3784 (1992).</w:t>
      </w:r>
    </w:p>
    <w:p>
      <w:pPr>
        <w:spacing w:after="60"/>
        <w:ind w:hanging="480"/>
        <w:divId w:val="208340846"/>
        <w:rPr>
          <w:rFonts w:ascii="Arial" w:hAnsi="Arial" w:cs="Arial"/>
          <w:sz w:val="18"/>
          <w:szCs w:val="18"/>
        </w:rPr>
      </w:pPr>
      <w:r>
        <w:rPr>
          <w:rFonts w:ascii="Arial" w:hAnsi="Arial" w:cs="Arial"/>
          <w:sz w:val="18"/>
          <w:szCs w:val="18"/>
        </w:rPr>
        <w:t xml:space="preserve">[36] T. Saitoh, A. E. Bocquet, T. Mizokawa, A. Fujimori, Systematic variation of the electronic structure of 3d transition-metal compounds. Physical Review B 52, 7934–7938 (1995).</w:t>
      </w:r>
    </w:p>
    <w:p>
      <w:pPr>
        <w:spacing w:after="60"/>
        <w:ind w:hanging="480"/>
        <w:divId w:val="208340846"/>
        <w:rPr>
          <w:rFonts w:ascii="Arial" w:hAnsi="Arial" w:cs="Arial"/>
          <w:sz w:val="18"/>
          <w:szCs w:val="18"/>
        </w:rPr>
      </w:pPr>
      <w:r>
        <w:rPr>
          <w:rFonts w:ascii="Arial" w:hAnsi="Arial" w:cs="Arial"/>
          <w:sz w:val="18"/>
          <w:szCs w:val="18"/>
        </w:rPr>
        <w:t xml:space="preserve">[37] S. Nimkar, D. D. Sarma, H. R. Krishnamurthy, S. Ramasesha, Mean-field results of the multiple-band extended Hubbard model for the square-planar CuO2 lattice. Physical Review B 48, 7355–7363 (1993).</w:t>
      </w:r>
    </w:p>
    <w:p>
      <w:pPr>
        <w:spacing w:after="60"/>
        <w:ind w:hanging="480"/>
        <w:divId w:val="208340846"/>
        <w:rPr>
          <w:rFonts w:ascii="Arial" w:hAnsi="Arial" w:cs="Arial"/>
          <w:sz w:val="18"/>
          <w:szCs w:val="18"/>
        </w:rPr>
      </w:pPr>
      <w:r>
        <w:rPr>
          <w:rFonts w:ascii="Arial" w:hAnsi="Arial" w:cs="Arial"/>
          <w:sz w:val="18"/>
          <w:szCs w:val="18"/>
        </w:rPr>
        <w:t xml:space="preserve">[38] F. M. F. de Groot, X-ray absorption and dichroism of transition metals and their compounds. Journal of Electron Spectroscopy and Related Phenomena 67, 529–622 (1994).</w:t>
      </w:r>
    </w:p>
    <w:p>
      <w:pPr>
        <w:spacing w:after="60"/>
        <w:ind w:hanging="480"/>
        <w:divId w:val="208340846"/>
        <w:rPr>
          <w:rFonts w:ascii="Arial" w:hAnsi="Arial" w:cs="Arial"/>
          <w:sz w:val="18"/>
          <w:szCs w:val="18"/>
        </w:rPr>
      </w:pPr>
      <w:r>
        <w:rPr>
          <w:rFonts w:ascii="Arial" w:hAnsi="Arial" w:cs="Arial"/>
          <w:sz w:val="18"/>
          <w:szCs w:val="18"/>
        </w:rPr>
        <w:t xml:space="preserve">[39] A. E. Bocquet, T. Mizokawa, K. Morikawa, A. Fujimori et al., Electronic structure of early 3d-transition-metal oxides by analysis of the 2p core-level photoemission spectra. Physical Review B 53, 1161–1170 (1996).</w:t>
      </w:r>
    </w:p>
    <w:p>
      <w:pPr>
        <w:spacing w:after="60"/>
        <w:ind w:hanging="480"/>
        <w:divId w:val="208340846"/>
        <w:rPr>
          <w:rFonts w:ascii="Arial" w:hAnsi="Arial" w:cs="Arial"/>
          <w:sz w:val="18"/>
          <w:szCs w:val="18"/>
        </w:rPr>
      </w:pPr>
      <w:r>
        <w:rPr>
          <w:rFonts w:ascii="Arial" w:hAnsi="Arial" w:cs="Arial"/>
          <w:sz w:val="18"/>
          <w:szCs w:val="18"/>
        </w:rPr>
        <w:t xml:space="preserve">[40] A. E. Bocquet, A. Fujimori, T. Mizokawa, T. Saitoh, H. Namatame, S. Suga, N. Kimizuka, Y. Takeda, M. Takano, Electronic structure of SrFe4+O3 and related Fe perovskite oxides. Physical Review B 45, 1561–1570 (1992).</w:t>
      </w:r>
    </w:p>
    <w:p>
      <w:pPr>
        <w:spacing w:after="60"/>
        <w:ind w:hanging="480"/>
        <w:divId w:val="208340846"/>
        <w:rPr>
          <w:rFonts w:ascii="Arial" w:hAnsi="Arial" w:cs="Arial"/>
          <w:sz w:val="18"/>
          <w:szCs w:val="18"/>
        </w:rPr>
      </w:pPr>
      <w:r>
        <w:rPr>
          <w:rFonts w:ascii="Arial" w:hAnsi="Arial" w:cs="Arial"/>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08340846"/>
        <w:rPr>
          <w:rFonts w:ascii="Arial" w:hAnsi="Arial" w:cs="Arial"/>
          <w:sz w:val="18"/>
          <w:szCs w:val="18"/>
        </w:rPr>
      </w:pPr>
      <w:r>
        <w:rPr>
          <w:rFonts w:ascii="Arial" w:hAnsi="Arial" w:cs="Arial"/>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60"/>
        <w:ind w:hanging="480"/>
        <w:divId w:val="208340846"/>
        <w:rPr>
          <w:rFonts w:ascii="Arial" w:hAnsi="Arial" w:cs="Arial"/>
          <w:sz w:val="18"/>
          <w:szCs w:val="18"/>
        </w:rPr>
      </w:pPr>
      <w:r>
        <w:rPr>
          <w:rFonts w:ascii="Arial" w:hAnsi="Arial" w:cs="Arial"/>
          <w:sz w:val="18"/>
          <w:szCs w:val="18"/>
        </w:rPr>
        <w:t xml:space="preserve">[43] A. Venimadhav, K. A. Yates, M. G. Blamire, Scanning Raman Spectroscopy for Characterizing Compositionally Spread Films. Journal of Combinatorial Chemistry 7, 85–89 (2005).</w:t>
      </w:r>
    </w:p>
    <w:p>
      <w:pPr>
        <w:spacing w:after="60"/>
        <w:ind w:hanging="480"/>
        <w:divId w:val="208340846"/>
        <w:rPr>
          <w:rFonts w:ascii="Arial" w:hAnsi="Arial" w:cs="Arial"/>
          <w:sz w:val="18"/>
          <w:szCs w:val="18"/>
        </w:rPr>
      </w:pPr>
      <w:r>
        <w:rPr>
          <w:rFonts w:ascii="Arial" w:hAnsi="Arial" w:cs="Arial"/>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08340846"/>
        <w:rPr>
          <w:rFonts w:ascii="Arial" w:hAnsi="Arial" w:cs="Arial"/>
          <w:sz w:val="18"/>
          <w:szCs w:val="18"/>
        </w:rPr>
      </w:pPr>
      <w:r>
        <w:rPr>
          <w:rFonts w:ascii="Arial" w:hAnsi="Arial" w:cs="Arial"/>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60"/>
        <w:ind w:hanging="480"/>
        <w:divId w:val="208340846"/>
        <w:rPr>
          <w:rFonts w:ascii="Arial" w:hAnsi="Arial" w:cs="Arial"/>
          <w:sz w:val="18"/>
          <w:szCs w:val="18"/>
        </w:rPr>
      </w:pPr>
      <w:r>
        <w:rPr>
          <w:rFonts w:ascii="Arial" w:hAnsi="Arial" w:cs="Arial"/>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60"/>
        <w:ind w:hanging="480"/>
        <w:divId w:val="208340846"/>
        <w:rPr>
          <w:rFonts w:ascii="Arial" w:hAnsi="Arial" w:cs="Arial"/>
          <w:sz w:val="18"/>
          <w:szCs w:val="18"/>
        </w:rPr>
      </w:pPr>
      <w:r>
        <w:rPr>
          <w:rFonts w:ascii="Arial" w:hAnsi="Arial" w:cs="Arial"/>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208340846"/>
        <w:rPr>
          <w:rFonts w:ascii="Arial" w:hAnsi="Arial" w:cs="Arial"/>
          <w:sz w:val="18"/>
          <w:szCs w:val="18"/>
        </w:rPr>
      </w:pPr>
      <w:r>
        <w:rPr>
          <w:rFonts w:ascii="Arial" w:hAnsi="Arial" w:cs="Arial"/>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60"/>
        <w:ind w:hanging="480"/>
        <w:divId w:val="208340846"/>
        <w:rPr>
          <w:rFonts w:ascii="Arial" w:hAnsi="Arial" w:cs="Arial"/>
          <w:sz w:val="18"/>
          <w:szCs w:val="18"/>
        </w:rPr>
      </w:pPr>
      <w:r>
        <w:rPr>
          <w:rFonts w:ascii="Arial" w:hAnsi="Arial" w:cs="Arial"/>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60"/>
        <w:ind w:hanging="480"/>
        <w:divId w:val="208340846"/>
        <w:rPr>
          <w:rFonts w:ascii="Arial" w:hAnsi="Arial" w:cs="Arial"/>
          <w:sz w:val="18"/>
          <w:szCs w:val="18"/>
        </w:rPr>
      </w:pPr>
      <w:r>
        <w:rPr>
          <w:rFonts w:ascii="Arial" w:hAnsi="Arial" w:cs="Arial"/>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208340846"/>
        <w:rPr>
          <w:rFonts w:ascii="Arial" w:hAnsi="Arial" w:cs="Arial"/>
          <w:sz w:val="18"/>
          <w:szCs w:val="18"/>
        </w:rPr>
      </w:pPr>
      <w:r>
        <w:rPr>
          <w:rFonts w:ascii="Arial" w:hAnsi="Arial" w:cs="Arial"/>
          <w:sz w:val="18"/>
          <w:szCs w:val="18"/>
        </w:rPr>
        <w:t xml:space="preserve">[51] E. Stavitski, F. M. F. de Groot, The CTM4XAS program for EELS and XAS spectral shape analysis of transition metal L edges. Micron 41, 687-694 (2010).</w:t>
      </w:r>
    </w:p>
    <w:p>
      <w:pPr>
        <w:spacing w:after="60"/>
        <w:ind w:hanging="480"/>
        <w:divId w:val="208340846"/>
        <w:rPr>
          <w:rFonts w:ascii="Arial" w:hAnsi="Arial" w:cs="Arial"/>
          <w:sz w:val="18"/>
          <w:szCs w:val="18"/>
        </w:rPr>
      </w:pPr>
      <w:r>
        <w:rPr>
          <w:rFonts w:ascii="Arial" w:hAnsi="Arial" w:cs="Arial"/>
          <w:sz w:val="18"/>
          <w:szCs w:val="18"/>
        </w:rPr>
        <w:t xml:space="preserve">[52] M. W. Haverkort, M. Zwierzycki, O. K. Andersen, Multiplet ligand-field theory using Wannier orbitals. Physical Review B 85, 165113 (2012).</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