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Pr1-xCaxMnO3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series Pr1-xCaxMnO3 (PCMO), the best-documented perovskite memristor family.</w:t>
      </w:r>
    </w:p>
    <w:p>
      <w:pPr>
        <w:spacing w:after="120"/>
      </w:pPr>
      <w:r>
        <w:t xml:space="preserve">PCMO is the ideal test system for a clean covalency study, for three reasons. (i) The covalency axis is established: Ca2+ substitution dopes holes with substantial O-2p character into the mixed-valent Mn3+/Mn4+ system; the resulting increase of Mn3d–O2p hybridisation with x is measurable at the O-K edge as a relative, series-internal quantity and has recently been quantified for two compositions (x = 0.1/0.33) in the electrocatalysis context [9] – precisely the descriptor knowledge this project transfers to memristive switching, with the classic manganite X-ray absorption literature as calibration base [10, 11]. (ii) The switching axis is established: PCMO delivered the first perovskite ReRAM demonstrations [12, 13], its interface redox mechanism is spectroscopically proven [14], and the field is comprehensively mapped in my first-author Chemical Reviews article [E2] and the recent manganite device review [22]. Crucially, the only complete composition-resolved switching study in the entire perovskite ReRAM literature exists for PCMO: Asanuma et al. measured Ti/Pr1-xCaxMnO3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(iii) The mechanism is stable across the series: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is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quantitative CI anchors exist for the La-based manganite end members [32], but no Δ/U/(pdσ) set has been published for Pr1-xCaxMnO3 at any composition – the closest existing series spectroscopy [33] stops short of a cluster fit; establishing the PCMO parameter set is an explicit deliverable of this project.</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[34] on a large-area PLD system of the type I have already used for wafer-scale memristive heterostructures [E3]; combinatorial hardware of this class covers substrates up to four inches [35], and epitaxial perovskite composition spreads are established [36]. Spatially resolved soft XAS turns such a wafer into a continuous covalency map – on-the-fly L-edge mapping of a combinatorial spread with a 0.5 mm beam has recently been demonstrated [37], and beamlines built for automated high-throughput NEXAFS exist for exactly this duty cycle [38] – while automated prober mapping of device arrays along the same gradient track yields the corresponding switching map [39].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[34], cation transfer is fluence- and pO2-sensitive and therefore calibrated per position [40],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[41], chemical expansion (high-temperature XRD) or a reference of known stoichiometry; optical absorption provides a second, fully imageable δ read-out [43]. Thin-film defect chemistry of exactly this type is established for ceria films [41] and for (La,Sr)FeO3-δ films [42],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[38].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[27, 28] within the Zaanen-Sawatzky-Allen classification [26].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[11], its interpretation limits taken from the O K-edge methodology literature [31]. (D2) At six to ten support points per series, cluster-model analysis of the transition-metal 2p core-level satellites and of the L2,3 multiplets yields the charge-transfer energy, the Coulomb energy and the transfer integrals, and hence w_L itself [28], evaluated with charge-transfer multiplet and Wannier-based multiplet ligand-field codes [44, 45].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[38],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PCMO series (months 1–10)</w:t>
      </w:r>
    </w:p>
    <w:p>
      <w:pPr>
        <w:spacing w:after="120"/>
      </w:pPr>
      <w:r>
        <w:t xml:space="preserve">PLD growth of epitaxial Pr1-xCaxMnO3 films (x = 0.1; 0.2; 0.3; 0.4; 0.5; 0.65; 0.8 – dense sampling around the reported switching optimum at x ≈ 0.4 and up to the x &gt; 0.8 regime where switching reportedly vanishes [16]) on Nb:SrTiO3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Mn-L2,3 valence analysis for every composition → experimental covalency scale of the series. Milestone M1 (month 10): validated sample series with complete descriptor set. In parallel with the discrete samples, a gradient wafer of the same system is grown in continuous-compositional-spread mode [34, 35]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Two device flavours per composition, processed photolithographically with ≥ 30 nominally identical cells each: (i) a benchmark geometry with reactive Ti top electrodes reproducing the Asanuma configuration [16] for direct quantitative comparability with the published switching-vs-x dataset, and (ii) a clean geometry with inert Pt top electrodes on Nb:SrTiO3,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w:t>
      </w:r>
    </w:p>
    <w:p>
      <w:pPr>
        <w:spacing w:after="120"/>
      </w:pPr>
      <w:r>
        <w:t xml:space="preserve">Correlation analysis covalency (XAS) ↔ EV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[38], with equilibrium and radiation-dose controls preceding any descriptor claim.</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PCMO is deliberate: the descriptor axis is added to an already-benchmarked switching axis, on the material of the applicant’s own doctorate – maximum de-risking for the descriptor question.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G. Lole, F. Ebrahimi, T. Meyer, D. Mierwaldt, V. Roddatis, J. Geppert, M. Risch, C. Jooss, Contrasting Pr1-xCaxMnO3 OER Catalysts with Different Valences and Covalences. The Journal of Physical Chemistry C 127, 177-186 (2023), DOI 10.1021/acs.jpcc.2c05622.</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S. Q. Liu, N. J. Wu, A. Ignatiev, Electric-pulse-induced reversible resistance change effect in magnetoresistive films. Applied Physics Letters 76, 2749–2751 (2000).</w:t>
      </w:r>
    </w:p>
    <w:p>
      <w:pPr>
        <w:spacing w:after="120"/>
      </w:pPr>
      <w:r>
        <w:rPr>
          <w:sz w:val="18"/>
          <w:szCs w:val="18"/>
        </w:rPr>
        <w:t xml:space="preserve">[13] A. Sawa, T. Fujii, M. Kawasaki, Y. Tokura, Hysteretic current–voltage characteristics and resistance switching at a rectifying Ti/Pr0.7Ca0.3MnO3 interface. Applied Physics Letters 85, 4073–4075 (2004).</w:t>
      </w:r>
    </w:p>
    <w:p>
      <w:pPr>
        <w:spacing w:after="120"/>
      </w:pPr>
      <w:r>
        <w:rPr>
          <w:sz w:val="18"/>
          <w:szCs w:val="18"/>
        </w:rPr>
        <w:t xml:space="preserve">[14]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[15] S. G. Choi, H.-S. Lee, H. Choi, S.-W. Chung, H.-H. Park, The effect of Sr concentration on resistive switching properties of La1-xSrxMnO3 films. Thin Solid Films 529, 352–355 (2013).</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A. Schulman, H. Huhtinen, P. Paturi, Manganite memristive devices: recent progress and emerging opportunities. Journal of Physics D: Applied Physics 57, 422001 (2024).</w:t>
      </w:r>
    </w:p>
    <w:p>
      <w:pPr>
        <w:spacing w:after="120"/>
      </w:pPr>
      <w:r>
        <w:rPr>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120"/>
      </w:pPr>
      <w:r>
        <w:rPr>
          <w:sz w:val="18"/>
          <w:szCs w:val="18"/>
        </w:rPr>
        <w:t xml:space="preserve">[24] T. Kramer, M. Scherff, D. Mierwaldt, J. Hoffmann, C. Jooss, Role of oxygen vacancies for resistive switching in noble metal sandwiched Pr0.67Ca0.33MnO3-δ. Applied Physics Letters 110, 243502 (2017).</w:t>
      </w:r>
    </w:p>
    <w:p>
      <w:pPr>
        <w:spacing w:after="120"/>
      </w:pPr>
      <w:r>
        <w:rPr>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T. Saitoh, A. E. Bocquet, T. Mizokawa, H. Namatame, A. Fujimori, M. Abbate, Y. Takeda, M. Takano, Electronic structure of La1-xSrxMnO3 studied by photoemission and x-ray-absorption spectroscopy. Physical Review B 51, 13942–13951 (1995).</w:t>
      </w:r>
    </w:p>
    <w:p>
      <w:pPr>
        <w:spacing w:after="120"/>
      </w:pPr>
      <w:r>
        <w:rPr>
          <w:sz w:val="18"/>
          <w:szCs w:val="18"/>
        </w:rPr>
        <w:t xml:space="preserve">[33] K. Ebata, M. Hashimoto, K. Tanaka, A. Fujimori, Y. Tomioka, Y. Tokura, Chemical potential shift and spectral-weight transfer in Pr1-xCaxMnO3. Physical Review B 76, 174418 (2007). [verify exact title before submission]</w:t>
      </w:r>
    </w:p>
    <w:p>
      <w:pPr>
        <w:spacing w:after="120"/>
      </w:pPr>
      <w:r>
        <w:rPr>
          <w:sz w:val="18"/>
          <w:szCs w:val="18"/>
        </w:rPr>
        <w:t xml:space="preserve">[34]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[35]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[36] A. Venimadhav, K. A. Yates, M. G. Blamire, Scanning Raman Spectroscopy for Characterizing Compositionally Spread Films. Journal of Combinatorial Chemistry 7, 85–89 (2005).</w:t>
      </w:r>
    </w:p>
    <w:p>
      <w:pPr>
        <w:spacing w:after="120"/>
      </w:pPr>
      <w:r>
        <w:rPr>
          <w:sz w:val="18"/>
          <w:szCs w:val="18"/>
        </w:rPr>
        <w:t xml:space="preserve">[37]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[38]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[39]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[40]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[41]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[42]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[43]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[44] E. Stavitski, F. M. F. de Groot, The CTM4XAS program for EELS and XAS spectral shape analysis of transition metal L edges. Micron 41, 687-694 (2010).</w:t>
      </w:r>
    </w:p>
    <w:p>
      <w:pPr>
        <w:spacing w:after="120"/>
      </w:pPr>
      <w:r>
        <w:rPr>
          <w:sz w:val="18"/>
          <w:szCs w:val="18"/>
        </w:rPr>
        <w:t xml:space="preserve">[45]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2026-08-10T22:56:21.948Z</dcterms:created>
  <dcterms:modified xsi:type="dcterms:W3CDTF">2026-08-10T22:56:21.948Z</dcterms:modified>
</cp:coreProperties>
</file>

<file path=docProps/custom.xml><?xml version="1.0" encoding="utf-8"?>
<Properties xmlns="http://schemas.openxmlformats.org/officeDocument/2006/custom-properties" xmlns:vt="http://schemas.openxmlformats.org/officeDocument/2006/docPropsVTypes"/>
</file>