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20FE7" w14:textId="77777777" w:rsidR="001761AA" w:rsidRDefault="001761AA">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3E2901D6" w14:textId="77777777" w:rsidR="001761AA" w:rsidRDefault="001761AA">
      <w:pPr>
        <w:pStyle w:val="NormalWeb"/>
        <w:rPr>
          <w:rFonts w:ascii="Arial" w:hAnsi="Arial" w:cs="Arial"/>
          <w:sz w:val="21"/>
          <w:szCs w:val="21"/>
        </w:rPr>
      </w:pPr>
      <w:r>
        <w:rPr>
          <w:rFonts w:ascii="Arial" w:hAnsi="Arial" w:cs="Arial"/>
          <w:sz w:val="21"/>
          <w:szCs w:val="21"/>
        </w:rPr>
        <w:t> </w:t>
      </w:r>
    </w:p>
    <w:p w14:paraId="46383E51" w14:textId="77777777" w:rsidR="001761AA" w:rsidRDefault="001761AA">
      <w:pPr>
        <w:pStyle w:val="NormalWeb"/>
        <w:rPr>
          <w:rFonts w:ascii="Arial" w:hAnsi="Arial" w:cs="Arial"/>
          <w:sz w:val="21"/>
          <w:szCs w:val="21"/>
        </w:rPr>
      </w:pPr>
      <w:r>
        <w:rPr>
          <w:rFonts w:ascii="Arial" w:hAnsi="Arial" w:cs="Arial"/>
          <w:sz w:val="21"/>
          <w:szCs w:val="21"/>
        </w:rPr>
        <w:t> </w:t>
      </w:r>
    </w:p>
    <w:p w14:paraId="76BB7F84" w14:textId="77777777" w:rsidR="001761AA" w:rsidRDefault="001761AA">
      <w:pPr>
        <w:pStyle w:val="NormalWeb"/>
        <w:rPr>
          <w:rFonts w:ascii="Arial" w:hAnsi="Arial" w:cs="Arial"/>
          <w:sz w:val="21"/>
          <w:szCs w:val="21"/>
        </w:rPr>
      </w:pPr>
      <w:r>
        <w:rPr>
          <w:rFonts w:ascii="Arial" w:hAnsi="Arial" w:cs="Arial"/>
          <w:sz w:val="21"/>
          <w:szCs w:val="21"/>
        </w:rPr>
        <w:t> </w:t>
      </w:r>
    </w:p>
    <w:p w14:paraId="1217DFD8" w14:textId="77777777" w:rsidR="001761AA" w:rsidRDefault="001761AA">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38F322BB" w14:textId="77777777" w:rsidR="001761AA" w:rsidRDefault="001761AA">
      <w:pPr>
        <w:pStyle w:val="NormalWeb"/>
        <w:rPr>
          <w:rFonts w:ascii="Arial" w:hAnsi="Arial" w:cs="Arial"/>
          <w:sz w:val="21"/>
          <w:szCs w:val="21"/>
        </w:rPr>
      </w:pPr>
      <w:r>
        <w:rPr>
          <w:rFonts w:ascii="Arial" w:hAnsi="Arial" w:cs="Arial"/>
          <w:sz w:val="21"/>
          <w:szCs w:val="21"/>
        </w:rPr>
        <w:t> </w:t>
      </w:r>
    </w:p>
    <w:p w14:paraId="628841CA" w14:textId="77777777" w:rsidR="001761AA" w:rsidRDefault="001761AA">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FeO</w:t>
      </w:r>
      <w:r>
        <w:rPr>
          <w:rFonts w:ascii="Arial" w:hAnsi="Arial" w:cs="Arial"/>
          <w:b/>
          <w:bCs/>
          <w:sz w:val="26"/>
          <w:szCs w:val="26"/>
          <w:vertAlign w:val="subscript"/>
        </w:rPr>
        <w:t>3-δ</w:t>
      </w:r>
      <w:r>
        <w:rPr>
          <w:rFonts w:ascii="Arial" w:hAnsi="Arial" w:cs="Arial"/>
          <w:b/>
          <w:bCs/>
          <w:sz w:val="26"/>
          <w:szCs w:val="26"/>
        </w:rPr>
        <w:t xml:space="preserve"> Model Series</w:t>
      </w:r>
    </w:p>
    <w:p w14:paraId="2050C4C4" w14:textId="77777777" w:rsidR="001761AA" w:rsidRDefault="001761AA">
      <w:pPr>
        <w:pStyle w:val="NormalWeb"/>
        <w:rPr>
          <w:rFonts w:ascii="Arial" w:hAnsi="Arial" w:cs="Arial"/>
          <w:sz w:val="21"/>
          <w:szCs w:val="21"/>
        </w:rPr>
      </w:pPr>
      <w:r>
        <w:rPr>
          <w:rFonts w:ascii="Arial" w:hAnsi="Arial" w:cs="Arial"/>
          <w:sz w:val="21"/>
          <w:szCs w:val="21"/>
        </w:rPr>
        <w:t> </w:t>
      </w:r>
    </w:p>
    <w:p w14:paraId="559959A2" w14:textId="77777777" w:rsidR="001761AA" w:rsidRDefault="001761A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D38D07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109229"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427D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1BBE96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19CD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B1F5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398B6A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F13BE"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C548E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780990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3486B"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DFDA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67CAC4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15ACD"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51DF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5D9E87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F277A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E5A95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5B122F9" w14:textId="77777777" w:rsidR="001761AA" w:rsidRDefault="001761AA">
      <w:pPr>
        <w:pStyle w:val="NormalWeb"/>
        <w:rPr>
          <w:rFonts w:ascii="Arial" w:hAnsi="Arial" w:cs="Arial"/>
          <w:sz w:val="21"/>
          <w:szCs w:val="21"/>
        </w:rPr>
      </w:pPr>
      <w:r>
        <w:rPr>
          <w:rFonts w:ascii="Arial" w:hAnsi="Arial" w:cs="Arial"/>
          <w:sz w:val="21"/>
          <w:szCs w:val="21"/>
        </w:rPr>
        <w:t> </w:t>
      </w:r>
    </w:p>
    <w:p w14:paraId="179764FB" w14:textId="77777777" w:rsidR="001761AA" w:rsidRDefault="001761AA">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6099F57" w14:textId="77777777" w:rsidR="001761AA" w:rsidRDefault="001761AA">
      <w:pPr>
        <w:pStyle w:val="Heading1"/>
        <w:pageBreakBefore/>
        <w:rPr>
          <w:rFonts w:ascii="Arial" w:eastAsia="Times New Roman" w:hAnsi="Arial" w:cs="Arial"/>
        </w:rPr>
      </w:pPr>
      <w:r>
        <w:rPr>
          <w:rFonts w:ascii="Arial" w:eastAsia="Times New Roman" w:hAnsi="Arial" w:cs="Arial"/>
        </w:rPr>
        <w:lastRenderedPageBreak/>
        <w:t>Research Proposal (Exposé)</w:t>
      </w:r>
    </w:p>
    <w:p w14:paraId="5A32A23F" w14:textId="77777777" w:rsidR="001761AA" w:rsidRDefault="001761AA">
      <w:pPr>
        <w:pStyle w:val="Heading2"/>
        <w:rPr>
          <w:rFonts w:ascii="Arial" w:eastAsia="Times New Roman" w:hAnsi="Arial" w:cs="Arial"/>
        </w:rPr>
      </w:pPr>
      <w:r>
        <w:rPr>
          <w:rFonts w:ascii="Arial" w:eastAsia="Times New Roman" w:hAnsi="Arial" w:cs="Arial"/>
        </w:rPr>
        <w:t>1  Research question and scientific significance</w:t>
      </w:r>
    </w:p>
    <w:p w14:paraId="63873C54" w14:textId="77777777" w:rsidR="001761AA" w:rsidRDefault="001761AA">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ideally suited model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(LSFO).</w:t>
      </w:r>
    </w:p>
    <w:p w14:paraId="56223C81" w14:textId="77777777" w:rsidR="001761AA" w:rsidRDefault="001761AA">
      <w:pPr>
        <w:pStyle w:val="NormalWeb"/>
        <w:rPr>
          <w:rFonts w:ascii="Arial" w:hAnsi="Arial" w:cs="Arial"/>
          <w:sz w:val="21"/>
          <w:szCs w:val="21"/>
        </w:rPr>
      </w:pPr>
      <w:r>
        <w:rPr>
          <w:rFonts w:ascii="Arial" w:hAnsi="Arial" w:cs="Arial"/>
          <w:sz w:val="21"/>
          <w:szCs w:val="21"/>
        </w:rPr>
        <w:t>LSFO is the perfect test system: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lowers E</w:t>
      </w:r>
      <w:r>
        <w:rPr>
          <w:rFonts w:ascii="Arial" w:hAnsi="Arial" w:cs="Arial"/>
          <w:sz w:val="21"/>
          <w:szCs w:val="21"/>
          <w:vertAlign w:val="subscript"/>
        </w:rPr>
        <w:t>V</w:t>
      </w:r>
      <w:r>
        <w:rPr>
          <w:rFonts w:ascii="Arial" w:hAnsi="Arial" w:cs="Arial"/>
          <w:sz w:val="21"/>
          <w:szCs w:val="21"/>
        </w:rPr>
        <w:t xml:space="preserve">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w:t>
      </w:r>
      <w:r>
        <w:rPr>
          <w:rFonts w:ascii="Arial" w:hAnsi="Arial" w:cs="Arial"/>
          <w:sz w:val="21"/>
          <w:szCs w:val="21"/>
          <w:vertAlign w:val="subscript"/>
        </w:rPr>
        <w:t>3-δ</w:t>
      </w:r>
      <w:r>
        <w:rPr>
          <w:rFonts w:ascii="Arial" w:hAnsi="Arial" w:cs="Arial"/>
          <w:sz w:val="21"/>
          <w:szCs w:val="21"/>
        </w:rPr>
        <w:t>/SrFeO</w:t>
      </w:r>
      <w:r>
        <w:rPr>
          <w:rFonts w:ascii="Arial" w:hAnsi="Arial" w:cs="Arial"/>
          <w:sz w:val="21"/>
          <w:szCs w:val="21"/>
          <w:vertAlign w:val="subscript"/>
        </w:rPr>
        <w:t>2.5</w:t>
      </w:r>
      <w:r>
        <w:rPr>
          <w:rFonts w:ascii="Arial" w:hAnsi="Arial" w:cs="Arial"/>
          <w:sz w:val="21"/>
          <w:szCs w:val="21"/>
        </w:rPr>
        <w:t xml:space="preserve"> switches topotactically – under inert Au/SrRuO3 electrode stacks – with ON/OFF ratios around 10</w:t>
      </w:r>
      <w:r>
        <w:rPr>
          <w:rFonts w:ascii="Arial" w:hAnsi="Arial" w:cs="Arial"/>
          <w:sz w:val="21"/>
          <w:szCs w:val="21"/>
          <w:vertAlign w:val="superscript"/>
        </w:rPr>
        <w:t>4</w:t>
      </w:r>
      <w:r>
        <w:rPr>
          <w:rFonts w:ascii="Arial" w:hAnsi="Arial" w:cs="Arial"/>
          <w:sz w:val="21"/>
          <w:szCs w:val="21"/>
        </w:rPr>
        <w:t xml:space="preserve"> [12, 13], while LaFeO</w:t>
      </w:r>
      <w:r>
        <w:rPr>
          <w:rFonts w:ascii="Arial" w:hAnsi="Arial" w:cs="Arial"/>
          <w:sz w:val="21"/>
          <w:szCs w:val="21"/>
          <w:vertAlign w:val="subscript"/>
        </w:rPr>
        <w:t>3</w:t>
      </w:r>
      <w:r>
        <w:rPr>
          <w:rFonts w:ascii="Arial" w:hAnsi="Arial" w:cs="Arial"/>
          <w:sz w:val="21"/>
          <w:szCs w:val="21"/>
        </w:rPr>
        <w:t xml:space="preserve">, a robust insulator, is only rudimentarily switching-active [14, 23]. For the intermediate compositions, however, not a single memristor study exists – a gap secured by my systematic literature analysis. The closest existing work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electrochemically over four orders of magnitude [15], demonstrating feasibility without answering the memristor question. The few stoichiometry-dependent switching studies on related manganites consistently show a </w:t>
      </w:r>
      <w:r>
        <w:rPr>
          <w:rFonts w:ascii="Arial" w:hAnsi="Arial" w:cs="Arial"/>
          <w:i/>
          <w:iCs/>
          <w:sz w:val="21"/>
          <w:szCs w:val="21"/>
        </w:rPr>
        <w:t>non-monotonic optimum</w:t>
      </w:r>
      <w:r>
        <w:rPr>
          <w:rFonts w:ascii="Arial" w:hAnsi="Arial" w:cs="Arial"/>
          <w:sz w:val="21"/>
          <w:szCs w:val="21"/>
        </w:rPr>
        <w:t xml:space="preserve">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w:t>
      </w:r>
      <w:r>
        <w:rPr>
          <w:rFonts w:ascii="Arial" w:hAnsi="Arial" w:cs="Arial"/>
          <w:sz w:val="21"/>
          <w:szCs w:val="21"/>
        </w:rPr>
        <w:t xml:space="preserve">the descriptor scale of this project is calibrated against cluster-model analysis, not against pre-edge intensity alone. System-specific parameter status (re-screening, 09.08.2026): the CI parameter basis of this series is among the strongest of any oxide family – both end members are quantitatively anchored, LaFeO3 with positive Δ and SrFeO3 with negative charge-transfer energy [30], recently reconfirmed by HAXPES (Δ ≈ −1.0 eV) [31], and series spectroscopy with CI anchoring exists [32]; the series thus crosses the sign of Δ, the conceptually richest descriptor axis of the portfolio.</w:t>
      </w:r>
    </w:p>
    <w:p>
      <w:pPr>
        <w:pStyle w:val="NormalWeb"/>
        <w:rPr>
          <w:rFonts w:ascii="Arial" w:hAnsi="Arial" w:cs="Arial"/>
          <w:sz w:val="21"/>
          <w:szCs w:val="21"/>
        </w:rPr>
      </w:pPr>
      <w:r>
        <w:rPr>
          <w:rFonts w:ascii="Arial" w:hAnsi="Arial" w:cs="Arial"/>
          <w:sz w:val="21"/>
          <w:szCs w:val="21"/>
        </w:rPr>
        <w:t xml:space="preserve">Methodological platform (added 08/2026) – one wafer, one map: beyond discrete samples, the composition series is realised as a single wafer carrying a continuous lateral cation-stoichiometry gradient, grown in continuous-compositional-spread mode [33] on a large-area PLD system of the type I have already used for wafer-scale memristive heterostructures [E3]; combinatorial hardware of this class covers substrates up to four inches [34], and epitaxial perovskite composition spreads are established [35]. Spatially resolved soft XAS turns such a wafer into a continuous covalency map – on-the-fly L-edge mapping of a combinatorial spread with a 0.5 mm beam has recently been demonstrated [36], and beamlines built for automated high-throughput NEXAFS exist for exactly this duty cycle [37] – while automated prober mapping of device arrays along the same gradient track yields the corresponding switching map [38].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[33], cation transfer is fluence- and pO2-sensitive and therefore calibrated per position [39], and structural quality across the wafer is mapped rather than assumed.</w:t>
      </w:r>
    </w:p>
    <w:p>
      <w:pPr>
        <w:pStyle w:val="NormalWeb"/>
        <w:rPr>
          <w:rFonts w:ascii="Arial" w:hAnsi="Arial" w:cs="Arial"/>
          <w:sz w:val="21"/>
          <w:szCs w:val="21"/>
        </w:rPr>
      </w:pPr>
      <w:r>
        <w:rPr>
          <w:rFonts w:ascii="Arial" w:hAnsi="Arial" w:cs="Arial"/>
          <w:sz w:val="21"/>
          <w:szCs w:val="21"/>
        </w:rP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[40], chemical expansion (high-temperature XRD) or a reference of known stoichiometry; optical absorption provides a second, fully imageable δ read-out [42]. Thin-film defect chemistry of exactly this type is established for ceria films [40] and for (La,Sr)FeO3-δ films [41],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pStyle w:val="NormalWeb"/>
        <w:rPr>
          <w:rFonts w:ascii="Arial" w:hAnsi="Arial" w:cs="Arial"/>
          <w:sz w:val="21"/>
          <w:szCs w:val="21"/>
        </w:rPr>
      </w:pPr>
      <w:r>
        <w:rPr>
          <w:rFonts w:ascii="Arial" w:hAnsi="Arial" w:cs="Arial"/>
          <w:sz w:val="21"/>
          <w:szCs w:val="21"/>
        </w:rP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[37].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[25, 26] within the Zaanen-Sawatzky-Allen classification [24].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[29]. (D2) At six to ten support points per series, cluster-model analysis of the transition-metal 2p core-level satellites and of the L2,3 multiplets yields the charge-transfer energy, the Coulomb energy and the transfer integrals, and hence w_L itself [26], evaluated with charge-transfer multiplet and Wannier-based multiplet ligand-field codes [43, 44].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[37], so the calibration is not carried across separate beamtimes. The descriptor is finally held to a model comparison against formal valence, tolerance factor and the uncalibrated pre-edge area; if it does not outperform them, that is reported as the result.</w:t>
      </w:r>
    </w:p>
    <w:p w14:paraId="7A780078" w14:textId="77777777" w:rsidR="001761AA" w:rsidRDefault="001761AA">
      <w:pPr>
        <w:pStyle w:val="Heading2"/>
        <w:rPr>
          <w:rFonts w:ascii="Arial" w:eastAsia="Times New Roman" w:hAnsi="Arial" w:cs="Arial"/>
        </w:rPr>
      </w:pPr>
      <w:r>
        <w:rPr>
          <w:rFonts w:ascii="Arial" w:eastAsia="Times New Roman" w:hAnsi="Arial" w:cs="Arial"/>
        </w:rPr>
        <w:t>2  Why the Chueh group at Stanford is the ideal place</w:t>
      </w:r>
    </w:p>
    <w:p w14:paraId="68B6F31A" w14:textId="77777777" w:rsidR="001761AA" w:rsidRDefault="001761AA">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4D9921DC" w14:textId="77777777" w:rsidR="001761AA" w:rsidRDefault="001761AA">
      <w:pPr>
        <w:pStyle w:val="Heading2"/>
        <w:rPr>
          <w:rFonts w:ascii="Arial" w:eastAsia="Times New Roman" w:hAnsi="Arial" w:cs="Arial"/>
        </w:rPr>
      </w:pPr>
      <w:r>
        <w:rPr>
          <w:rFonts w:ascii="Arial" w:eastAsia="Times New Roman" w:hAnsi="Arial" w:cs="Arial"/>
        </w:rPr>
        <w:t>3  Work programme (24 months)</w:t>
      </w:r>
    </w:p>
    <w:p w14:paraId="06B4C09A" w14:textId="77777777" w:rsidR="001761AA" w:rsidRDefault="001761AA">
      <w:pPr>
        <w:pStyle w:val="Heading3"/>
        <w:rPr>
          <w:rFonts w:ascii="Arial" w:eastAsia="Times New Roman" w:hAnsi="Arial" w:cs="Arial"/>
        </w:rPr>
      </w:pPr>
      <w:r>
        <w:rPr>
          <w:rFonts w:ascii="Arial" w:eastAsia="Times New Roman" w:hAnsi="Arial" w:cs="Arial"/>
        </w:rPr>
        <w:t xml:space="preserve">WP1 – Synthesis and descriptor measurement of the LSFO series (months 1–10)</w:t>
      </w:r>
    </w:p>
    <w:p w14:paraId="5F4D98F4" w14:textId="77777777" w:rsidR="001761AA" w:rsidRDefault="001761AA">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films (x = 0; 0.2; 0.33; 0.5; 0.67; 1)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determination of cation and oxygen stoichiometry (XPS, RBS where required). In parallel, first XAS campaign at SSRL: O-K pre-edge quantification following the procedure of Suntivich et al. [11] and Fe-L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r>
        <w:rPr>
          <w:rFonts w:ascii="Arial" w:hAnsi="Arial" w:cs="Arial"/>
          <w:i/>
          <w:iCs/>
          <w:sz w:val="21"/>
          <w:szCs w:val="21"/>
        </w:rPr>
        <w:t xml:space="preserve"> In parallel with the discrete samples, a gradient wafer of the same system is grown in continuous-compositional-spread mode [33, 34] and calibrated position by position (XRF/WDS composition map, XRR thickness, XRD structural quality); the discrete series remains the backbone of the analysis, the gradient wafer is the throughput accelerator and the carrier of the defect-chemical titration in WP3.</w:t>
      </w:r>
    </w:p>
    <w:p w14:paraId="3EF1ADA5" w14:textId="77777777" w:rsidR="001761AA" w:rsidRDefault="001761AA">
      <w:pPr>
        <w:pStyle w:val="Heading3"/>
        <w:rPr>
          <w:rFonts w:ascii="Arial" w:eastAsia="Times New Roman" w:hAnsi="Arial" w:cs="Arial"/>
        </w:rPr>
      </w:pPr>
      <w:r>
        <w:rPr>
          <w:rFonts w:ascii="Arial" w:eastAsia="Times New Roman" w:hAnsi="Arial" w:cs="Arial"/>
        </w:rPr>
        <w:t>WP2 – Devices and switching characterisation (months 8–18)</w:t>
      </w:r>
    </w:p>
    <w:p w14:paraId="589F6716" w14:textId="77777777" w:rsidR="001761AA" w:rsidRDefault="001761AA">
      <w:pPr>
        <w:pStyle w:val="NormalWeb"/>
        <w:rPr>
          <w:rFonts w:ascii="Arial" w:hAnsi="Arial" w:cs="Arial"/>
          <w:sz w:val="21"/>
          <w:szCs w:val="21"/>
        </w:rPr>
      </w:pPr>
      <w:r>
        <w:rPr>
          <w:rFonts w:ascii="Arial" w:hAnsi="Arial" w:cs="Arial"/>
          <w:sz w:val="21"/>
          <w:szCs w:val="21"/>
        </w:rPr>
        <w:t>Processing of identical Pt/LSFO/Nb:SrTiO</w:t>
      </w:r>
      <w:r>
        <w:rPr>
          <w:rFonts w:ascii="Arial" w:hAnsi="Arial" w:cs="Arial"/>
          <w:sz w:val="21"/>
          <w:szCs w:val="21"/>
          <w:vertAlign w:val="subscript"/>
        </w:rPr>
        <w:t>3</w:t>
      </w:r>
      <w:r>
        <w:rPr>
          <w:rFonts w:ascii="Arial" w:hAnsi="Arial" w:cs="Arial"/>
          <w:sz w:val="21"/>
          <w:szCs w:val="21"/>
        </w:rPr>
        <w:t xml:space="preserve">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76429027" w14:textId="77777777" w:rsidR="001761AA" w:rsidRDefault="001761AA">
      <w:pPr>
        <w:pStyle w:val="Heading3"/>
        <w:rPr>
          <w:rFonts w:ascii="Arial" w:eastAsia="Times New Roman" w:hAnsi="Arial" w:cs="Arial"/>
        </w:rPr>
      </w:pPr>
      <w:r>
        <w:rPr>
          <w:rFonts w:ascii="Arial" w:eastAsia="Times New Roman" w:hAnsi="Arial" w:cs="Arial"/>
        </w:rPr>
        <w:t>WP3 – Correlation, operando validation and publication (months 16–24)</w:t>
      </w:r>
    </w:p>
    <w:p w14:paraId="72A12E36" w14:textId="77777777" w:rsidR="001761AA" w:rsidRDefault="001761AA">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DFT [9]) ↔ switching metrics; test of the optimum hypothesis.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r>
        <w:rPr>
          <w:rFonts w:ascii="Arial" w:hAnsi="Arial" w:cs="Arial"/>
          <w:i/>
          <w:iCs/>
          <w:sz w:val="21"/>
          <w:szCs w:val="21"/>
        </w:rP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[37], with equilibrium and radiation-dose controls preceding any descriptor claim.</w:t>
      </w:r>
    </w:p>
    <w:p w14:paraId="2C76CC2C" w14:textId="77777777" w:rsidR="001761AA" w:rsidRDefault="001761AA">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7D7F09AD"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48385E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4B3F70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718D62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EDBA33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B11CFD8"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55F8157"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BF1A15A"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FC7BCC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CA127C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15B529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A327B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7405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B3D0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518BC4"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6B9D9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899D52"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65291B"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6D43C"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69036C" w14:textId="77777777" w:rsidR="001761AA" w:rsidRDefault="001761AA">
            <w:pPr>
              <w:spacing w:before="120" w:after="200"/>
              <w:jc w:val="center"/>
              <w:rPr>
                <w:rFonts w:eastAsia="Times New Roman"/>
                <w:sz w:val="20"/>
                <w:szCs w:val="20"/>
              </w:rPr>
            </w:pPr>
          </w:p>
        </w:tc>
      </w:tr>
      <w:tr w:rsidR="00000000" w14:paraId="4E8978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00BA8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10D3C"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58D1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E374F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B02FF"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7EAD4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C96E6D"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9E474E"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250FA" w14:textId="77777777" w:rsidR="001761AA" w:rsidRDefault="001761AA">
            <w:pPr>
              <w:spacing w:before="120" w:after="200"/>
              <w:jc w:val="center"/>
              <w:rPr>
                <w:rFonts w:eastAsia="Times New Roman"/>
                <w:sz w:val="20"/>
                <w:szCs w:val="20"/>
              </w:rPr>
            </w:pPr>
          </w:p>
        </w:tc>
      </w:tr>
      <w:tr w:rsidR="00000000" w14:paraId="6FE697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77C5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98221"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1D6C5"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E938E7"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8E0F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1C397A"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5E8EA"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5552E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C93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C484283" w14:textId="77777777" w:rsidR="001761AA" w:rsidRDefault="001761AA">
      <w:pPr>
        <w:pStyle w:val="Heading2"/>
        <w:rPr>
          <w:rFonts w:ascii="Arial" w:eastAsia="Times New Roman" w:hAnsi="Arial" w:cs="Arial"/>
        </w:rPr>
      </w:pPr>
      <w:r>
        <w:rPr>
          <w:rFonts w:ascii="Arial" w:eastAsia="Times New Roman" w:hAnsi="Arial" w:cs="Arial"/>
        </w:rPr>
        <w:t>5  Career perspective and return strategy</w:t>
      </w:r>
    </w:p>
    <w:p w14:paraId="7B2C99FE" w14:textId="77777777" w:rsidR="001761AA" w:rsidRDefault="001761AA">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LSFO dataset, spanning the largest documented E</w:t>
      </w:r>
      <w:r>
        <w:rPr>
          <w:rFonts w:ascii="Arial" w:hAnsi="Arial" w:cs="Arial"/>
          <w:sz w:val="21"/>
          <w:szCs w:val="21"/>
          <w:vertAlign w:val="subscript"/>
        </w:rPr>
        <w:t>V</w:t>
      </w:r>
      <w:r>
        <w:rPr>
          <w:rFonts w:ascii="Arial" w:hAnsi="Arial" w:cs="Arial"/>
          <w:sz w:val="21"/>
          <w:szCs w:val="21"/>
        </w:rPr>
        <w:t xml:space="preserve"> range of any perovskite series) for the larger programme of a “treasure map” of memristive oxides in analogy to the bonding-descriptor maps of Wuttig et al. [21]. The subsequent group programme then extends the methodology to the manganite and cobaltite families and charts the topotactic mechanism boundary that the LSFO series itself approaches at its Sr-rich end.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791C8F98" w14:textId="77777777" w:rsidR="001761AA" w:rsidRDefault="001761AA">
      <w:pPr>
        <w:pStyle w:val="Heading2"/>
        <w:rPr>
          <w:rFonts w:ascii="Arial" w:eastAsia="Times New Roman" w:hAnsi="Arial" w:cs="Arial"/>
        </w:rPr>
      </w:pPr>
      <w:r>
        <w:rPr>
          <w:rFonts w:ascii="Arial" w:eastAsia="Times New Roman" w:hAnsi="Arial" w:cs="Arial"/>
        </w:rPr>
        <w:t>6  References</w:t>
      </w:r>
    </w:p>
    <w:p w14:paraId="57BDB0D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 R. Waser, M. Aono, Nanoionics-based resistive switching memories. Nature Materials 6, 833–840 (2007).</w:t>
      </w:r>
    </w:p>
    <w:p w14:paraId="2335A3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5BCF95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45A88FA5" w14:textId="77777777" w:rsidR="001761AA" w:rsidRDefault="001761AA">
      <w:pPr>
        <w:spacing w:after="60"/>
        <w:ind w:hanging="480"/>
        <w:divId w:val="1197347534"/>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E9B95D7" w14:textId="77777777" w:rsidR="001761AA" w:rsidRDefault="001761AA">
      <w:pPr>
        <w:spacing w:after="60"/>
        <w:ind w:hanging="480"/>
        <w:divId w:val="1197347534"/>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1D03E55" w14:textId="77777777" w:rsidR="001761AA" w:rsidRDefault="001761AA">
      <w:pPr>
        <w:spacing w:after="60"/>
        <w:ind w:hanging="480"/>
        <w:divId w:val="1197347534"/>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CF42C02" w14:textId="77777777" w:rsidR="001761AA" w:rsidRDefault="001761AA">
      <w:pPr>
        <w:spacing w:after="60"/>
        <w:ind w:hanging="480"/>
        <w:divId w:val="1197347534"/>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0E48F623" w14:textId="77777777" w:rsidR="001761AA" w:rsidRDefault="001761AA">
      <w:pPr>
        <w:spacing w:after="60"/>
        <w:ind w:hanging="480"/>
        <w:divId w:val="1197347534"/>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2017530A" w14:textId="77777777" w:rsidR="001761AA" w:rsidRDefault="001761AA">
      <w:pPr>
        <w:spacing w:after="60"/>
        <w:ind w:hanging="480"/>
        <w:divId w:val="1197347534"/>
        <w:rPr>
          <w:rFonts w:ascii="Arial" w:hAnsi="Arial" w:cs="Arial"/>
          <w:sz w:val="18"/>
          <w:szCs w:val="18"/>
        </w:rPr>
      </w:pPr>
      <w:r>
        <w:rPr>
          <w:rFonts w:ascii="Arial" w:hAnsi="Arial" w:cs="Arial"/>
          <w:sz w:val="18"/>
          <w:szCs w:val="18"/>
        </w:rPr>
        <w:t>[9]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9D974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659683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0EFEFC4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[12]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672075B9" w14:textId="77777777" w:rsidR="001761AA" w:rsidRDefault="001761AA">
      <w:pPr>
        <w:spacing w:after="60"/>
        <w:ind w:hanging="480"/>
        <w:divId w:val="1197347534"/>
        <w:rPr>
          <w:rFonts w:ascii="Arial" w:hAnsi="Arial" w:cs="Arial"/>
          <w:sz w:val="18"/>
          <w:szCs w:val="18"/>
        </w:rPr>
      </w:pPr>
      <w:r>
        <w:rPr>
          <w:rFonts w:ascii="Arial" w:hAnsi="Arial" w:cs="Arial"/>
          <w:sz w:val="18"/>
          <w:szCs w:val="18"/>
        </w:rPr>
        <w:t>[13]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63511CD0" w14:textId="77777777" w:rsidR="001761AA" w:rsidRDefault="001761AA">
      <w:pPr>
        <w:spacing w:after="60"/>
        <w:ind w:hanging="480"/>
        <w:divId w:val="1197347534"/>
        <w:rPr>
          <w:rFonts w:ascii="Arial" w:hAnsi="Arial" w:cs="Arial"/>
          <w:sz w:val="18"/>
          <w:szCs w:val="18"/>
        </w:rPr>
      </w:pPr>
      <w:r>
        <w:rPr>
          <w:rFonts w:ascii="Arial" w:hAnsi="Arial" w:cs="Arial"/>
          <w:sz w:val="18"/>
          <w:szCs w:val="18"/>
        </w:rPr>
        <w:t>[14]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39CB32E7" w14:textId="77777777" w:rsidR="001761AA" w:rsidRDefault="001761AA">
      <w:pPr>
        <w:spacing w:after="60"/>
        <w:ind w:hanging="480"/>
        <w:divId w:val="1197347534"/>
        <w:rPr>
          <w:rFonts w:ascii="Arial" w:hAnsi="Arial" w:cs="Arial"/>
          <w:sz w:val="18"/>
          <w:szCs w:val="18"/>
        </w:rPr>
      </w:pPr>
      <w:r>
        <w:rPr>
          <w:rFonts w:ascii="Arial" w:hAnsi="Arial" w:cs="Arial"/>
          <w:sz w:val="18"/>
          <w:szCs w:val="18"/>
        </w:rPr>
        <w:t>[15]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436C8B8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630A7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398EEA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1D08E82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79BF8F7C" w14:textId="77777777" w:rsidR="001761AA" w:rsidRDefault="001761AA">
      <w:pPr>
        <w:spacing w:after="60"/>
        <w:ind w:hanging="480"/>
        <w:divId w:val="1197347534"/>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44F08E65" w14:textId="77777777" w:rsidR="001761AA" w:rsidRDefault="001761AA">
      <w:pPr>
        <w:spacing w:after="60"/>
        <w:ind w:hanging="480"/>
        <w:divId w:val="1197347534"/>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1197347534"/>
        <w:rPr>
          <w:rFonts w:ascii="Arial" w:hAnsi="Arial" w:cs="Arial"/>
          <w:sz w:val="18"/>
          <w:szCs w:val="18"/>
        </w:rPr>
      </w:pPr>
      <w:r>
        <w:rPr>
          <w:rFonts w:ascii="Arial" w:hAnsi="Arial" w:cs="Arial"/>
          <w:sz w:val="18"/>
          <w:szCs w:val="18"/>
        </w:rPr>
        <w:t xml:space="preserve">[22] J. A. Santana, J. T. Krogel, P. R. C. Kent, F. A. Reboredo, Diffusion quantum Monte Carlo calculations of SrFeO3 and LaFeO3. The Journal of Chemical Physics 147, 034701 (2017).</w:t>
      </w:r>
    </w:p>
    <w:p>
      <w:pPr>
        <w:spacing w:after="60"/>
        <w:ind w:hanging="480"/>
        <w:divId w:val="1197347534"/>
        <w:rPr>
          <w:rFonts w:ascii="Arial" w:hAnsi="Arial" w:cs="Arial"/>
          <w:sz w:val="18"/>
          <w:szCs w:val="18"/>
        </w:rPr>
      </w:pPr>
      <w:r>
        <w:rPr>
          <w:rFonts w:ascii="Arial" w:hAnsi="Arial" w:cs="Arial"/>
          <w:sz w:val="18"/>
          <w:szCs w:val="18"/>
        </w:rPr>
        <w:t xml:space="preserve">[23] C. Song, H. Luo, J. Xu, Y. Song, Q. Hu, Density functional theory study on conduction mechanisms in LaFeO3 nanofibers for resistive random access memory. Ionics 32, 2427–2437 (2026).</w:t>
      </w:r>
    </w:p>
    <w:p>
      <w:pPr>
        <w:spacing w:after="60"/>
        <w:ind w:hanging="480"/>
        <w:divId w:val="1197347534"/>
        <w:rPr>
          <w:rFonts w:ascii="Arial" w:hAnsi="Arial" w:cs="Arial"/>
          <w:sz w:val="18"/>
          <w:szCs w:val="18"/>
        </w:rPr>
      </w:pPr>
      <w:r>
        <w:rPr>
          <w:rFonts w:ascii="Arial" w:hAnsi="Arial" w:cs="Arial"/>
          <w:sz w:val="18"/>
          <w:szCs w:val="18"/>
        </w:rPr>
        <w:t xml:space="preserve">[24] J. Zaanen, G. A. Sawatzky, J. W. Allen, Band gaps and electronic structure of transition-metal compounds. Physical Review Letters 55, 418–421 (1985).</w:t>
      </w:r>
    </w:p>
    <w:p>
      <w:pPr>
        <w:spacing w:after="60"/>
        <w:ind w:hanging="480"/>
        <w:divId w:val="1197347534"/>
        <w:rPr>
          <w:rFonts w:ascii="Arial" w:hAnsi="Arial" w:cs="Arial"/>
          <w:sz w:val="18"/>
          <w:szCs w:val="18"/>
        </w:rPr>
      </w:pPr>
      <w:r>
        <w:rPr>
          <w:rFonts w:ascii="Arial" w:hAnsi="Arial" w:cs="Arial"/>
          <w:sz w:val="18"/>
          <w:szCs w:val="18"/>
        </w:rPr>
        <w:t xml:space="preserve">[25] A. Fujimori, F. Minami, Valence-band photoemission and optical absorption in nickel compounds. Physical Review B 30, 957–971 (1984).</w:t>
      </w:r>
    </w:p>
    <w:p>
      <w:pPr>
        <w:spacing w:after="60"/>
        <w:ind w:hanging="480"/>
        <w:divId w:val="1197347534"/>
        <w:rPr>
          <w:rFonts w:ascii="Arial" w:hAnsi="Arial" w:cs="Arial"/>
          <w:sz w:val="18"/>
          <w:szCs w:val="18"/>
        </w:rPr>
      </w:pPr>
      <w:r>
        <w:rPr>
          <w:rFonts w:ascii="Arial" w:hAnsi="Arial" w:cs="Arial"/>
          <w:sz w:val="18"/>
          <w:szCs w:val="18"/>
        </w:rPr>
        <w:t xml:space="preserve">[26] A. E. Bocquet, T. Mizokawa, T. Saitoh, H. Namatame, A. Fujimori, Electronic structure of 3d-transition-metal compounds by analysis of the 2p core-level photoemission spectra. Physical Review B 46, 3771–3784 (1992).</w:t>
      </w:r>
    </w:p>
    <w:p>
      <w:pPr>
        <w:spacing w:after="60"/>
        <w:ind w:hanging="480"/>
        <w:divId w:val="1197347534"/>
        <w:rPr>
          <w:rFonts w:ascii="Arial" w:hAnsi="Arial" w:cs="Arial"/>
          <w:sz w:val="18"/>
          <w:szCs w:val="18"/>
        </w:rPr>
      </w:pPr>
      <w:r>
        <w:rPr>
          <w:rFonts w:ascii="Arial" w:hAnsi="Arial" w:cs="Arial"/>
          <w:sz w:val="18"/>
          <w:szCs w:val="18"/>
        </w:rPr>
        <w:t xml:space="preserve">[27] T. Saitoh, A. E. Bocquet, T. Mizokawa, A. Fujimori, Systematic variation of the electronic structure of 3d transition-metal compounds. Physical Review B 52, 7934–7938 (1995).</w:t>
      </w:r>
    </w:p>
    <w:p>
      <w:pPr>
        <w:spacing w:after="60"/>
        <w:ind w:hanging="480"/>
        <w:divId w:val="1197347534"/>
        <w:rPr>
          <w:rFonts w:ascii="Arial" w:hAnsi="Arial" w:cs="Arial"/>
          <w:sz w:val="18"/>
          <w:szCs w:val="18"/>
        </w:rPr>
      </w:pPr>
      <w:r>
        <w:rPr>
          <w:rFonts w:ascii="Arial" w:hAnsi="Arial" w:cs="Arial"/>
          <w:sz w:val="18"/>
          <w:szCs w:val="18"/>
        </w:rPr>
        <w:t xml:space="preserve">[28] S. Nimkar, D. D. Sarma, H. R. Krishnamurthy, S. Ramasesha, Mean-field results of the multiple-band extended Hubbard model for the square-planar CuO2 lattice. Physical Review B 48, 7355–7363 (1993).</w:t>
      </w:r>
    </w:p>
    <w:p>
      <w:pPr>
        <w:spacing w:after="60"/>
        <w:ind w:hanging="480"/>
        <w:divId w:val="1197347534"/>
        <w:rPr>
          <w:rFonts w:ascii="Arial" w:hAnsi="Arial" w:cs="Arial"/>
          <w:sz w:val="18"/>
          <w:szCs w:val="18"/>
        </w:rPr>
      </w:pPr>
      <w:r>
        <w:rPr>
          <w:rFonts w:ascii="Arial" w:hAnsi="Arial" w:cs="Arial"/>
          <w:sz w:val="18"/>
          <w:szCs w:val="18"/>
        </w:rPr>
        <w:t xml:space="preserve">[29] F. M. F. de Groot, X-ray absorption and dichroism of transition metals and their compounds. Journal of Electron Spectroscopy and Related Phenomena 67, 529–622 (1994).</w:t>
      </w:r>
    </w:p>
    <w:p>
      <w:pPr>
        <w:spacing w:after="60"/>
        <w:ind w:hanging="480"/>
        <w:divId w:val="1197347534"/>
        <w:rPr>
          <w:rFonts w:ascii="Arial" w:hAnsi="Arial" w:cs="Arial"/>
          <w:sz w:val="18"/>
          <w:szCs w:val="18"/>
        </w:rPr>
      </w:pPr>
      <w:r>
        <w:rPr>
          <w:rFonts w:ascii="Arial" w:hAnsi="Arial" w:cs="Arial"/>
          <w:sz w:val="18"/>
          <w:szCs w:val="18"/>
        </w:rPr>
        <w:t xml:space="preserve">[30] A. E. Bocquet, A. Fujimori, T. Mizokawa, T. Saitoh, H. Namatame, S. Suga, N. Kimizuka, Y. Takeda, M. Takano, Electronic structure of SrFe4+O3 and related Fe perovskite oxides. Physical Review B 45, 1561–1570 (1992).</w:t>
      </w:r>
    </w:p>
    <w:p>
      <w:pPr>
        <w:spacing w:after="60"/>
        <w:ind w:hanging="480"/>
        <w:divId w:val="1197347534"/>
        <w:rPr>
          <w:rFonts w:ascii="Arial" w:hAnsi="Arial" w:cs="Arial"/>
          <w:sz w:val="18"/>
          <w:szCs w:val="18"/>
        </w:rPr>
      </w:pPr>
      <w:r>
        <w:rPr>
          <w:rFonts w:ascii="Arial" w:hAnsi="Arial" w:cs="Arial"/>
          <w:sz w:val="18"/>
          <w:szCs w:val="18"/>
        </w:rPr>
        <w:t xml:space="preserve">[31] D. Takegami et al., Negative charge-transfer energy in SrFeO3 revisited with hard x-ray photoemission spectroscopy. Physical Review B 109, 235138 (2024).</w:t>
      </w:r>
    </w:p>
    <w:p>
      <w:pPr>
        <w:spacing w:after="60"/>
        <w:ind w:hanging="480"/>
        <w:divId w:val="1197347534"/>
        <w:rPr>
          <w:rFonts w:ascii="Arial" w:hAnsi="Arial" w:cs="Arial"/>
          <w:sz w:val="18"/>
          <w:szCs w:val="18"/>
        </w:rPr>
      </w:pPr>
      <w:r>
        <w:rPr>
          <w:rFonts w:ascii="Arial" w:hAnsi="Arial" w:cs="Arial"/>
          <w:sz w:val="18"/>
          <w:szCs w:val="18"/>
        </w:rPr>
        <w:t xml:space="preserve">[32] H. Wadati et al., Hole-doping-induced changes in the electronic structure of La1-xSrxFeO3: soft x-ray photoemission and absorption study of epitaxial thin films. Physical Review B 71, 035108 (2005).</w:t>
      </w:r>
    </w:p>
    <w:p>
      <w:pPr>
        <w:spacing w:after="60"/>
        <w:ind w:hanging="480"/>
        <w:divId w:val="1197347534"/>
        <w:rPr>
          <w:rFonts w:ascii="Arial" w:hAnsi="Arial" w:cs="Arial"/>
          <w:sz w:val="18"/>
          <w:szCs w:val="18"/>
        </w:rPr>
      </w:pPr>
      <w:r>
        <w:rPr>
          <w:rFonts w:ascii="Arial" w:hAnsi="Arial" w:cs="Arial"/>
          <w:sz w:val="18"/>
          <w:szCs w:val="18"/>
        </w:rPr>
        <w:t xml:space="preserve">[33]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1197347534"/>
        <w:rPr>
          <w:rFonts w:ascii="Arial" w:hAnsi="Arial" w:cs="Arial"/>
          <w:sz w:val="18"/>
          <w:szCs w:val="18"/>
        </w:rPr>
      </w:pPr>
      <w:r>
        <w:rPr>
          <w:rFonts w:ascii="Arial" w:hAnsi="Arial" w:cs="Arial"/>
          <w:sz w:val="18"/>
          <w:szCs w:val="18"/>
        </w:rPr>
        <w:t xml:space="preserve">[34] M. Lorenz, H. Hochmuth, H. von Wenckstern, M. Grundmann, Flexible hardware concept of pulsed laser deposition for large areas and combinatorial composition spreads. Review of Scientific Instruments 94, 083905 (2023).</w:t>
      </w:r>
    </w:p>
    <w:p>
      <w:pPr>
        <w:spacing w:after="60"/>
        <w:ind w:hanging="480"/>
        <w:divId w:val="1197347534"/>
        <w:rPr>
          <w:rFonts w:ascii="Arial" w:hAnsi="Arial" w:cs="Arial"/>
          <w:sz w:val="18"/>
          <w:szCs w:val="18"/>
        </w:rPr>
      </w:pPr>
      <w:r>
        <w:rPr>
          <w:rFonts w:ascii="Arial" w:hAnsi="Arial" w:cs="Arial"/>
          <w:sz w:val="18"/>
          <w:szCs w:val="18"/>
        </w:rPr>
        <w:t xml:space="preserve">[35] A. Venimadhav, K. A. Yates, M. G. Blamire, Scanning Raman Spectroscopy for Characterizing Compositionally Spread Films. Journal of Combinatorial Chemistry 7, 85–89 (2005).</w:t>
      </w:r>
    </w:p>
    <w:p>
      <w:pPr>
        <w:spacing w:after="60"/>
        <w:ind w:hanging="480"/>
        <w:divId w:val="1197347534"/>
        <w:rPr>
          <w:rFonts w:ascii="Arial" w:hAnsi="Arial" w:cs="Arial"/>
          <w:sz w:val="18"/>
          <w:szCs w:val="18"/>
        </w:rPr>
      </w:pPr>
      <w:r>
        <w:rPr>
          <w:rFonts w:ascii="Arial" w:hAnsi="Arial" w:cs="Arial"/>
          <w:sz w:val="18"/>
          <w:szCs w:val="18"/>
        </w:rPr>
        <w:t xml:space="preserve">[36]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1197347534"/>
        <w:rPr>
          <w:rFonts w:ascii="Arial" w:hAnsi="Arial" w:cs="Arial"/>
          <w:sz w:val="18"/>
          <w:szCs w:val="18"/>
        </w:rPr>
      </w:pPr>
      <w:r>
        <w:rPr>
          <w:rFonts w:ascii="Arial" w:hAnsi="Arial" w:cs="Arial"/>
          <w:sz w:val="18"/>
          <w:szCs w:val="18"/>
        </w:rPr>
        <w:t xml:space="preserve">[37] D. C. Grinter, P. Ferrer, F. Venturini, M. A. van Spronsen, A. I. Large et al., VerSoX B07-B: a high-throughput XPS and ambient pressure NEXAFS beamline at Diamond Light Source. Journal of Synchrotron Radiation 31, 578–589 (2024).</w:t>
      </w:r>
    </w:p>
    <w:p>
      <w:pPr>
        <w:spacing w:after="60"/>
        <w:ind w:hanging="480"/>
        <w:divId w:val="1197347534"/>
        <w:rPr>
          <w:rFonts w:ascii="Arial" w:hAnsi="Arial" w:cs="Arial"/>
          <w:sz w:val="18"/>
          <w:szCs w:val="18"/>
        </w:rPr>
      </w:pPr>
      <w:r>
        <w:rPr>
          <w:rFonts w:ascii="Arial" w:hAnsi="Arial" w:cs="Arial"/>
          <w:sz w:val="18"/>
          <w:szCs w:val="18"/>
        </w:rPr>
        <w:t xml:space="preserve">[38] M. Tang, L. Dai, M. Cheng, Y. Zhang, Y. Wang et al., High-Throughput Screening Thickness-Dependent Resistive Switching in SrTiO3 Thin Films for Robust Electronic Synapse. Advanced Functional Materials 33, 2213874 (2023).</w:t>
      </w:r>
    </w:p>
    <w:p>
      <w:pPr>
        <w:spacing w:after="60"/>
        <w:ind w:hanging="480"/>
        <w:divId w:val="1197347534"/>
        <w:rPr>
          <w:rFonts w:ascii="Arial" w:hAnsi="Arial" w:cs="Arial"/>
          <w:sz w:val="18"/>
          <w:szCs w:val="18"/>
        </w:rPr>
      </w:pPr>
      <w:r>
        <w:rPr>
          <w:rFonts w:ascii="Arial" w:hAnsi="Arial" w:cs="Arial"/>
          <w:sz w:val="18"/>
          <w:szCs w:val="18"/>
        </w:rPr>
        <w:t xml:space="preserve">[39] S. Wicklein, A. Sambri, S. Amoruso, X. Wang, R. Bruzzese, A. Koehl, R. Dittmann, Pulsed laser ablation of complex oxides: The role of congruent ablation and preferential scattering for the film stoichiometry. Applied Physics Letters 101, 131601 (2012).</w:t>
      </w:r>
    </w:p>
    <w:p>
      <w:pPr>
        <w:spacing w:after="60"/>
        <w:ind w:hanging="480"/>
        <w:divId w:val="1197347534"/>
        <w:rPr>
          <w:rFonts w:ascii="Arial" w:hAnsi="Arial" w:cs="Arial"/>
          <w:sz w:val="18"/>
          <w:szCs w:val="18"/>
        </w:rPr>
      </w:pPr>
      <w:r>
        <w:rPr>
          <w:rFonts w:ascii="Arial" w:hAnsi="Arial" w:cs="Arial"/>
          <w:sz w:val="18"/>
          <w:szCs w:val="18"/>
        </w:rPr>
        <w:t xml:space="preserve">[40] W. C. Chueh, S. M. Haile, Electrochemical studies of capacitance in cerium oxide thin films and its relationship to anionic and electronic defect densities. Physical Chemistry Chemical Physics 11, 8144–8148 (2009).</w:t>
      </w:r>
    </w:p>
    <w:p>
      <w:pPr>
        <w:spacing w:after="60"/>
        <w:ind w:hanging="480"/>
        <w:divId w:val="1197347534"/>
        <w:rPr>
          <w:rFonts w:ascii="Arial" w:hAnsi="Arial" w:cs="Arial"/>
          <w:sz w:val="18"/>
          <w:szCs w:val="18"/>
        </w:rPr>
      </w:pPr>
      <w:r>
        <w:rPr>
          <w:rFonts w:ascii="Arial" w:hAnsi="Arial" w:cs="Arial"/>
          <w:sz w:val="18"/>
          <w:szCs w:val="18"/>
        </w:rPr>
        <w:t xml:space="preserve">[41] A. Schmid, G. M. Rupp, J. Fleig, Voltage and partial pressure dependent defect chemistry in (La,Sr)FeO3-δ thin films investigated by chemical capacitance measurements. Physical Chemistry Chemical Physics 20, 12016–12026 (2018).</w:t>
      </w:r>
    </w:p>
    <w:p>
      <w:pPr>
        <w:spacing w:after="60"/>
        <w:ind w:hanging="480"/>
        <w:divId w:val="1197347534"/>
        <w:rPr>
          <w:rFonts w:ascii="Arial" w:hAnsi="Arial" w:cs="Arial"/>
          <w:sz w:val="18"/>
          <w:szCs w:val="18"/>
        </w:rPr>
      </w:pPr>
      <w:r>
        <w:rPr>
          <w:rFonts w:ascii="Arial" w:hAnsi="Arial" w:cs="Arial"/>
          <w:sz w:val="18"/>
          <w:szCs w:val="18"/>
        </w:rPr>
        <w:t xml:space="preserve">[42] J. J. Kim, S. R. Bishop, N. J. Thompson, H. L. Tuller, Investigation of Nonstoichiometry in Oxide Thin Films by Simultaneous in Situ Optical Absorption and Chemical Capacitance Measurements: Pr-Doped Ceria, a Case Study. Chemistry of Materials 26, 1374–1379 (2014).</w:t>
      </w:r>
    </w:p>
    <w:p>
      <w:pPr>
        <w:spacing w:after="60"/>
        <w:ind w:hanging="480"/>
        <w:divId w:val="1197347534"/>
        <w:rPr>
          <w:rFonts w:ascii="Arial" w:hAnsi="Arial" w:cs="Arial"/>
          <w:sz w:val="18"/>
          <w:szCs w:val="18"/>
        </w:rPr>
      </w:pPr>
      <w:r>
        <w:rPr>
          <w:rFonts w:ascii="Arial" w:hAnsi="Arial" w:cs="Arial"/>
          <w:sz w:val="18"/>
          <w:szCs w:val="18"/>
        </w:rPr>
        <w:t xml:space="preserve">[43] E. Stavitski, F. M. F. de Groot, The CTM4XAS program for EELS and XAS spectral shape analysis of transition metal L edges. Micron 41, 687-694 (2010).</w:t>
      </w:r>
    </w:p>
    <w:p>
      <w:pPr>
        <w:spacing w:after="60"/>
        <w:ind w:hanging="480"/>
        <w:divId w:val="1197347534"/>
        <w:rPr>
          <w:rFonts w:ascii="Arial" w:hAnsi="Arial" w:cs="Arial"/>
          <w:sz w:val="18"/>
          <w:szCs w:val="18"/>
        </w:rPr>
      </w:pPr>
      <w:r>
        <w:rPr>
          <w:rFonts w:ascii="Arial" w:hAnsi="Arial" w:cs="Arial"/>
          <w:sz w:val="18"/>
          <w:szCs w:val="18"/>
        </w:rPr>
        <w:t xml:space="preserve">[44] M. W. Haverkort, M. Zwierzycki, O. K. Andersen, Multiplet ligand-field theory using Wannier orbitals. Physical Review B 85, 165113 (2012).</w:t>
      </w:r>
    </w:p>
    <w:p w14:paraId="5B938664" w14:textId="77777777" w:rsidR="001761AA" w:rsidRDefault="001761AA">
      <w:pPr>
        <w:spacing w:after="60"/>
        <w:ind w:hanging="480"/>
        <w:divId w:val="119734753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5979207" w14:textId="77777777" w:rsidR="001761AA" w:rsidRDefault="001761AA">
      <w:pPr>
        <w:spacing w:after="60"/>
        <w:ind w:hanging="480"/>
        <w:divId w:val="119734753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C9FF5E" w14:textId="77777777" w:rsidR="001761AA" w:rsidRDefault="001761AA">
      <w:pPr>
        <w:spacing w:after="60"/>
        <w:ind w:hanging="480"/>
        <w:divId w:val="119734753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7A569768" w14:textId="77777777" w:rsidR="001761AA" w:rsidRDefault="001761AA">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21D41E61"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6FB5DF3"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502624"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538F13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9E26E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4790E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44011F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96C88"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F563C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4EBA4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24C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D531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373C69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3AAA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6B53E"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23613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95879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8061D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A62C5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92326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A45BC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33D50CF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314DF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9DC4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F5FA399" w14:textId="77777777" w:rsidR="001761AA" w:rsidRDefault="001761AA">
      <w:pPr>
        <w:pStyle w:val="Heading2"/>
        <w:rPr>
          <w:rFonts w:ascii="Arial" w:eastAsia="Times New Roman" w:hAnsi="Arial" w:cs="Arial"/>
        </w:rPr>
      </w:pPr>
      <w:r>
        <w:rPr>
          <w:rFonts w:ascii="Arial" w:eastAsia="Times New Roman" w:hAnsi="Arial" w:cs="Arial"/>
        </w:rPr>
        <w:t>Fellowship benefits (for orientation, as of 2026)</w:t>
      </w:r>
    </w:p>
    <w:p w14:paraId="6313D0B7" w14:textId="77777777" w:rsidR="001761AA" w:rsidRDefault="001761AA">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1761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7DB9"/>
    <w:rsid w:val="00107DB9"/>
    <w:rsid w:val="001761AA"/>
    <w:rsid w:val="004F21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4349C8"/>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34753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2259</Words>
  <Characters>12880</Characters>
  <Application>Microsoft Office Word</Application>
  <DocSecurity>4</DocSecurity>
  <Lines>107</Lines>
  <Paragraphs>30</Paragraphs>
  <ScaleCrop>false</ScaleCrop>
  <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