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[35] on a large-area PLD system of the type I have already used for wafer-scale memristive heterostructures [E3]; combinatorial hardware of this class covers substrates up to four inches [36], and epitaxial perovskite composition spreads are established [37]. Spatially resolved soft XAS turns such a wafer into a continuous covalency map – on-the-fly L-edge mapping of a combinatorial spread with a 0.5 mm beam has recently been demonstrated [38], and beamlines built for automated high-throughput NEXAFS exist for exactly this duty cycle [39] – while automated prober mapping of device arrays along the same gradient track yields the corresponding switching map [40].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[35], cation transfer is fluence- and pO2-sensitive and therefore calibrated per position [41],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[42], chemical expansion (high-temperature XRD) or a reference of known stoichiometry; optical absorption provides a second, fully imageable δ read-out [44]. Thin-film defect chemistry of exactly this type is established for ceria films [42] and for (La,Sr)FeO3-δ films [43],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[39].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[27, 28] within the Zaanen-Sawatzky-Allen classification [26].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[12], its interpretation limits taken from the O K-edge methodology literature [31]. (D2) At six to ten support points per series, cluster-model analysis of the transition-metal 2p core-level satellites and of the L2,3 multiplets yields the charge-transfer energy, the Coulomb energy and the transfer integrals, and hence w_L itself [28], evaluated with charge-transfer multiplet and Wannier-based multiplet ligand-field codes [45, 46].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[39],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 In parallel with the discrete samples, a gradient wafer of the same system is grown in continuous-compositional-spread mode [35, 36]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[39],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[35]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[36]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[37] A. Venimadhav, K. A. Yates, M. G. Blamire, Scanning Raman Spectroscopy for Characterizing Compositionally Spread Films. Journal of Combinatorial Chemistry 7, 85–89 (2005).</w:t>
      </w:r>
    </w:p>
    <w:p>
      <w:pPr>
        <w:spacing w:after="120"/>
      </w:pPr>
      <w:r>
        <w:rPr>
          <w:sz w:val="18"/>
          <w:szCs w:val="18"/>
        </w:rPr>
        <w:t xml:space="preserve">[38]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[39]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[40]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[41]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[42]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[43]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[44]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[45] E. Stavitski, F. M. F. de Groot, The CTM4XAS program for EELS and XAS spectral shape analysis of transition metal L edges. Micron 41, 687-694 (2010).</w:t>
      </w:r>
    </w:p>
    <w:p>
      <w:pPr>
        <w:spacing w:after="120"/>
      </w:pPr>
      <w:r>
        <w:rPr>
          <w:sz w:val="18"/>
          <w:szCs w:val="18"/>
        </w:rPr>
        <w:t xml:space="preserve">[46]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2026-08-10T22:56:21.971Z</dcterms:created>
  <dcterms:modified xsi:type="dcterms:W3CDTF">2026-08-10T22:56:21.971Z</dcterms:modified>
</cp:coreProperties>
</file>

<file path=docProps/custom.xml><?xml version="1.0" encoding="utf-8"?>
<Properties xmlns="http://schemas.openxmlformats.org/officeDocument/2006/custom-properties" xmlns:vt="http://schemas.openxmlformats.org/officeDocument/2006/docPropsVTypes"/>
</file>