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15F" w14:textId="77777777" w:rsidR="00BF62FF" w:rsidRDefault="00BF62FF">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591D30D9" w14:textId="77777777" w:rsidR="00BF62FF" w:rsidRDefault="00BF62FF">
      <w:pPr>
        <w:pStyle w:val="NormalWeb"/>
        <w:rPr>
          <w:rFonts w:ascii="Arial" w:hAnsi="Arial" w:cs="Arial"/>
          <w:sz w:val="21"/>
          <w:szCs w:val="21"/>
        </w:rPr>
      </w:pPr>
      <w:r>
        <w:rPr>
          <w:rFonts w:ascii="Arial" w:hAnsi="Arial" w:cs="Arial"/>
          <w:sz w:val="21"/>
          <w:szCs w:val="21"/>
        </w:rPr>
        <w:t> </w:t>
      </w:r>
    </w:p>
    <w:p w14:paraId="4FE7DC89" w14:textId="77777777" w:rsidR="00BF62FF" w:rsidRDefault="00BF62FF">
      <w:pPr>
        <w:pStyle w:val="NormalWeb"/>
        <w:rPr>
          <w:rFonts w:ascii="Arial" w:hAnsi="Arial" w:cs="Arial"/>
          <w:sz w:val="21"/>
          <w:szCs w:val="21"/>
        </w:rPr>
      </w:pPr>
      <w:r>
        <w:rPr>
          <w:rFonts w:ascii="Arial" w:hAnsi="Arial" w:cs="Arial"/>
          <w:sz w:val="21"/>
          <w:szCs w:val="21"/>
        </w:rPr>
        <w:t> </w:t>
      </w:r>
    </w:p>
    <w:p w14:paraId="0D044D3D" w14:textId="77777777" w:rsidR="00BF62FF" w:rsidRDefault="00BF62FF">
      <w:pPr>
        <w:pStyle w:val="NormalWeb"/>
        <w:rPr>
          <w:rFonts w:ascii="Arial" w:hAnsi="Arial" w:cs="Arial"/>
          <w:sz w:val="21"/>
          <w:szCs w:val="21"/>
        </w:rPr>
      </w:pPr>
      <w:r>
        <w:rPr>
          <w:rFonts w:ascii="Arial" w:hAnsi="Arial" w:cs="Arial"/>
          <w:sz w:val="21"/>
          <w:szCs w:val="21"/>
        </w:rPr>
        <w:t> </w:t>
      </w:r>
    </w:p>
    <w:p w14:paraId="7913CBFD" w14:textId="77777777" w:rsidR="00BF62FF" w:rsidRDefault="00BF62FF">
      <w:pPr>
        <w:pStyle w:val="center"/>
        <w:spacing w:before="0" w:beforeAutospacing="0" w:after="140"/>
        <w:rPr>
          <w:rFonts w:ascii="Arial" w:hAnsi="Arial" w:cs="Arial"/>
          <w:sz w:val="32"/>
          <w:szCs w:val="32"/>
        </w:rPr>
      </w:pPr>
      <w:r>
        <w:rPr>
          <w:rFonts w:ascii="Arial" w:hAnsi="Arial" w:cs="Arial"/>
          <w:b/>
          <w:bCs/>
          <w:sz w:val="32"/>
          <w:szCs w:val="32"/>
        </w:rPr>
        <w:t>COVMAP</w:t>
      </w:r>
    </w:p>
    <w:p w14:paraId="078596E9" w14:textId="77777777" w:rsidR="00BF62FF" w:rsidRDefault="00BF62FF">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2AFB0EA3" w14:textId="77777777" w:rsidR="00BF62FF" w:rsidRDefault="00BF62FF">
      <w:pPr>
        <w:pStyle w:val="NormalWeb"/>
        <w:rPr>
          <w:rFonts w:ascii="Arial" w:hAnsi="Arial" w:cs="Arial"/>
          <w:sz w:val="21"/>
          <w:szCs w:val="21"/>
        </w:rPr>
      </w:pPr>
      <w:r>
        <w:rPr>
          <w:rFonts w:ascii="Arial" w:hAnsi="Arial" w:cs="Arial"/>
          <w:sz w:val="21"/>
          <w:szCs w:val="21"/>
        </w:rPr>
        <w:t> </w:t>
      </w:r>
    </w:p>
    <w:p w14:paraId="7C6D3A35" w14:textId="77777777" w:rsidR="00BF62FF" w:rsidRDefault="00BF62FF">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11F22E76"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5F0FE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F19BC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24524E2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ED2070"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022BA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6FB058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8D4B39"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8B726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477D25C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3AF985"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83486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360A51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2024E2"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33B74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51E39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F5704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E1075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61B8D8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29CF1"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6B982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0B529ECB" w14:textId="77777777" w:rsidR="00BF62FF" w:rsidRDefault="00BF62FF">
      <w:pPr>
        <w:pStyle w:val="NormalWeb"/>
        <w:rPr>
          <w:rFonts w:ascii="Arial" w:hAnsi="Arial" w:cs="Arial"/>
          <w:sz w:val="21"/>
          <w:szCs w:val="21"/>
        </w:rPr>
      </w:pPr>
      <w:r>
        <w:rPr>
          <w:rFonts w:ascii="Arial" w:hAnsi="Arial" w:cs="Arial"/>
          <w:sz w:val="21"/>
          <w:szCs w:val="21"/>
        </w:rPr>
        <w:t> </w:t>
      </w:r>
    </w:p>
    <w:p w14:paraId="7BA28E23" w14:textId="77777777" w:rsidR="00BF62FF" w:rsidRDefault="00BF62FF">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2633BDFE" w14:textId="77777777" w:rsidR="00BF62FF" w:rsidRDefault="00BF62FF">
      <w:pPr>
        <w:pStyle w:val="Heading1"/>
        <w:pageBreakBefore/>
        <w:rPr>
          <w:rFonts w:ascii="Arial" w:eastAsia="Times New Roman" w:hAnsi="Arial" w:cs="Arial"/>
        </w:rPr>
      </w:pPr>
      <w:r>
        <w:rPr>
          <w:rFonts w:ascii="Arial" w:eastAsia="Times New Roman" w:hAnsi="Arial" w:cs="Arial"/>
        </w:rPr>
        <w:lastRenderedPageBreak/>
        <w:t>Part B1 – Extended Synopsis</w:t>
      </w:r>
    </w:p>
    <w:p w14:paraId="2A0C74B1" w14:textId="77777777" w:rsidR="00BF62FF" w:rsidRDefault="00BF62FF">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3AE585B7" w14:textId="77777777" w:rsidR="00BF62FF" w:rsidRDefault="00BF62FF">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1247880A" w14:textId="77777777" w:rsidR="00BF62FF" w:rsidRDefault="00BF62FF">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5D3A90D8" w14:textId="77777777" w:rsidR="00BF62FF" w:rsidRDefault="00BF62FF">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2AD38490" w14:textId="77777777" w:rsidR="00BF62FF" w:rsidRDefault="00BF62FF">
      <w:pPr>
        <w:pStyle w:val="Heading2"/>
        <w:rPr>
          <w:rFonts w:ascii="Arial" w:eastAsia="Times New Roman" w:hAnsi="Arial" w:cs="Arial"/>
        </w:rPr>
      </w:pPr>
      <w:r>
        <w:rPr>
          <w:rFonts w:ascii="Arial" w:eastAsia="Times New Roman" w:hAnsi="Arial" w:cs="Arial"/>
        </w:rPr>
        <w:t>2  Why this is ground-breaking – and why it has not been done</w:t>
      </w:r>
    </w:p>
    <w:p w14:paraId="0F9156D7" w14:textId="77777777" w:rsidR="00BF62FF" w:rsidRDefault="00BF62FF">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31];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32]. My literature analysis identifies only a handful of composition series in the entire perovskite ReRAM literature [20–22, 30, 33]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w:t>
      </w:r>
      <w:r>
        <w:rPr>
          <w:rFonts w:ascii="Arial" w:hAnsi="Arial" w:cs="Arial"/>
          <w:sz w:val="21"/>
          <w:szCs w:val="21"/>
        </w:rPr>
        <w:t xml:space="preserve">A systematic evidence audit along the descriptor chain underpins the materials strategy: canonical covalency-vs-doping spectroscopy exists for the ferrite and manganite series [14], a quantitative EV(x) relation with explicit covalency reasoning for the ferrites [13, 34], and every programme series enters from a demonstrated switching base at inert or noble interfaces (Pt/SrTiO3 with cation-stoichiometry control [22]; the Sr-rich ferrite end member under inert stacks [23–25]; Pr1-xCaxMnO3 between noble Pt contacts [36]; the cobaltite end member SrCoO2.5 under Au [37]) – yet no system combines all three links, and the missing composition series are the field's untapped optimisation space.</w:t>
      </w:r>
      <w:r>
        <w:rPr>
          <w:rFonts w:ascii="Arial" w:hAnsi="Arial" w:cs="Arial"/>
          <w:sz w:val="21"/>
          <w:szCs w:val="21"/>
        </w:rPr>
        <w:t xml:space="preserve">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55BD375E" w14:textId="77777777" w:rsidR="00BF62FF" w:rsidRDefault="00BF62FF">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35]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w:t>
      </w:r>
      <w:r>
        <w:rPr>
          <w:rFonts w:ascii="Arial" w:hAnsi="Arial" w:cs="Arial"/>
          <w:sz w:val="21"/>
          <w:szCs w:val="21"/>
        </w:rPr>
        <w:t xml:space="preserve">: an epitaxial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chain-oxygen series switching between noble Au electrodes – the one oxide platform where noble-contact switching was already established and replicated – with a site-resolved XAS covalency scale correlated against the switching metrics of the same cells</w:t>
      </w:r>
      <w:r>
        <w:rPr>
          <w:rFonts w:ascii="Arial" w:hAnsi="Arial" w:cs="Arial"/>
          <w:sz w:val="21"/>
          <w:szCs w:val="21"/>
        </w:rPr>
        <w:t xml:space="preserve"> [insert one-sentence headline result once available; manuscript in preparation, P1]. This is the proof of concept that both axes of the map can be measured on one and the same device.</w:t>
      </w:r>
    </w:p>
    <w:p w14:paraId="5701F301" w14:textId="77777777" w:rsidR="00BF62FF" w:rsidRDefault="00BF62FF">
      <w:pPr>
        <w:pStyle w:val="Heading2"/>
        <w:rPr>
          <w:rFonts w:ascii="Arial" w:eastAsia="Times New Roman" w:hAnsi="Arial" w:cs="Arial"/>
        </w:rPr>
      </w:pPr>
      <w:r>
        <w:rPr>
          <w:rFonts w:ascii="Arial" w:eastAsia="Times New Roman" w:hAnsi="Arial" w:cs="Arial"/>
        </w:rPr>
        <w:t>3  Objectives</w:t>
      </w:r>
    </w:p>
    <w:p w14:paraId="00D44FC0" w14:textId="77777777" w:rsidR="00BF62FF" w:rsidRDefault="00BF62FF">
      <w:pPr>
        <w:pStyle w:val="NormalWeb"/>
        <w:spacing w:after="160"/>
        <w:divId w:val="1643533669"/>
        <w:rPr>
          <w:rFonts w:ascii="Arial" w:hAnsi="Arial" w:cs="Arial"/>
          <w:sz w:val="21"/>
          <w:szCs w:val="21"/>
        </w:rPr>
      </w:pPr>
      <w:r>
        <w:rPr>
          <w:rFonts w:ascii="Arial" w:hAnsi="Arial" w:cs="Arial"/>
          <w:b/>
          <w:bCs/>
          <w:sz w:val="21"/>
          <w:szCs w:val="21"/>
        </w:rPr>
        <w:t>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34])</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(reference; noble-contact switching demonstrated [36]</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(map densification; Au-active switching proven at its SrCoO2.5 end member [37])</w:t>
      </w:r>
      <w:r>
        <w:rPr>
          <w:rFonts w:ascii="Arial" w:hAnsi="Arial" w:cs="Arial"/>
          <w:sz w:val="21"/>
          <w:szCs w:val="21"/>
        </w:rPr>
        <w:t xml:space="preserve"> – </w:t>
      </w:r>
      <w:r>
        <w:rPr>
          <w:rFonts w:ascii="Arial" w:hAnsi="Arial" w:cs="Arial"/>
          <w:sz w:val="21"/>
          <w:szCs w:val="21"/>
        </w:rPr>
        <w:t xml:space="preserve">building on the noble-electrode descriptor methodology (inert-contact devices + XAS covalency scale) that I de-risked on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during my Feodor Lynen fellowship</w:t>
      </w:r>
      <w:r>
        <w:rPr>
          <w:rFonts w:ascii="Arial" w:hAnsi="Arial" w:cs="Arial"/>
          <w:sz w:val="21"/>
          <w:szCs w:val="21"/>
        </w:rPr>
        <w:t xml:space="preserve">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6C0418D1" w14:textId="77777777" w:rsidR="00BF62FF" w:rsidRDefault="00BF62FF">
      <w:pPr>
        <w:pStyle w:val="NormalWeb"/>
        <w:spacing w:after="160"/>
        <w:divId w:val="528252883"/>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w:t>
      </w:r>
      <w:r>
        <w:rPr>
          <w:rFonts w:ascii="Arial" w:hAnsi="Arial" w:cs="Arial"/>
          <w:sz w:val="21"/>
          <w:szCs w:val="21"/>
        </w:rPr>
        <w:t xml:space="preserve">calibrated against literature DFT [11–13] and anchored in cluster-model/configuration-interaction charge-transfer analysis in the Zaanen–Sawatzky–Allen framework and the tradition of Fujimori, Bocquet, Saitoh and Sarma [39–43] – hybridisation and covalency are kept strictly distinct, and pre-edge intensities are used as a relative, series-internal measure only – making the map independent of material-specific theory.</w:t>
      </w:r>
    </w:p>
    <w:p w14:paraId="7439003C" w14:textId="77777777" w:rsidR="00BF62FF" w:rsidRDefault="00BF62FF">
      <w:pPr>
        <w:pStyle w:val="NormalWeb"/>
        <w:spacing w:after="160"/>
        <w:divId w:val="1861696277"/>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49CB0258" w14:textId="77777777" w:rsidR="00BF62FF" w:rsidRDefault="00BF62FF">
      <w:pPr>
        <w:pStyle w:val="NormalWeb"/>
        <w:spacing w:after="160"/>
        <w:divId w:val="791636256"/>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w:t>
      </w:r>
      <w:r>
        <w:rPr>
          <w:rFonts w:ascii="Arial" w:hAnsi="Arial" w:cs="Arial"/>
          <w:sz w:val="21"/>
          <w:szCs w:val="21"/>
        </w:rPr>
        <w:t xml:space="preserve">then select an oxide outside the training set – the family screening pre-qualifies YBa2Cu3O7-δ (Au-contact switching established [38]) and Ce1-xGdxO2-δ (Pt/Pt crossbar platform [18]) – predict its switching quantitatively, and test the prediction</w:t>
      </w:r>
      <w:r>
        <w:rPr>
          <w:rFonts w:ascii="Arial" w:hAnsi="Arial" w:cs="Arial"/>
          <w:sz w:val="21"/>
          <w:szCs w:val="21"/>
        </w:rPr>
        <w:t xml:space="preserve"> – the decisive falsifiable step from correlation to design tool.</w:t>
      </w:r>
    </w:p>
    <w:p w14:paraId="0C25D040" w14:textId="77777777" w:rsidR="00BF62FF" w:rsidRDefault="00BF62FF">
      <w:pPr>
        <w:pStyle w:val="Heading2"/>
        <w:rPr>
          <w:rFonts w:ascii="Arial" w:eastAsia="Times New Roman" w:hAnsi="Arial" w:cs="Arial"/>
        </w:rPr>
      </w:pPr>
      <w:r>
        <w:rPr>
          <w:rFonts w:ascii="Arial" w:eastAsia="Times New Roman" w:hAnsi="Arial" w:cs="Arial"/>
        </w:rPr>
        <w:t>4  Approach and why I will succeed</w:t>
      </w:r>
    </w:p>
    <w:p w14:paraId="21B2D868" w14:textId="77777777" w:rsidR="00BF62FF" w:rsidRDefault="00BF62FF">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pPr>
        <w:pStyle w:val="NormalWeb"/>
        <w:rPr>
          <w:rFonts w:ascii="Arial" w:hAnsi="Arial" w:cs="Arial"/>
          <w:sz w:val="21"/>
          <w:szCs w:val="21"/>
        </w:rPr>
      </w:pPr>
      <w:r>
        <w:rPr>
          <w:rFonts w:ascii="Arial" w:hAnsi="Arial" w:cs="Arial"/>
          <w:sz w:val="21"/>
          <w:szCs w:val="21"/>
        </w:rPr>
        <w:t xml:space="preserve">(iv) Throughput by design - one wafer, one map: the composition series are additionally realised as single wafers carrying a continuous lateral cation gradient, grown in continuous-compositional-spread mode [44] on combinatorial large-area hardware of the class that reaches four-inch substrates [45], an approach established for epitaxial perovskites [46]. Spatially resolved soft XAS converts such a wafer into a continuous covalency map - on-the-fly L-edge mapping across a combinatorial spread has been demonstrated [47] and beamlines built for automated high-throughput NEXAFS are available [48] - while automated prober mapping of device arrays along the same gradient track yields the corresponding switching map [49]; 0.2-0.5 mm spots on a 50 mm gradient give 100-250 independent compositions per wafer. Decisively, the same wafer also carries the defect-chemical gas titration: equilibration at defined oxygen partial pressure and temperature, spatially resolved read-out of the resulting non-stoichiometry and van 't Hoff analysis across oxidising and reducing conditions yield the reduction enthalpy as a function of composition - an experimental vacancy-formation energy co-located with the descriptor. Since XAS gives valence rather than absolute oxygen content, the map is calibrated against chemical-capacitance or chemical-expansion anchors [51, 52], with optical absorption as a second, fully imageable read-out [53]; thin-film defect chemistry of this type is established for ceria [51] and ferrite films [52]. This is what turns the covalency-EV link from a computed premise into a measured correlation, and it is what makes a map across many systems - rather than a study of one - realistic. The risks are explicit: composition, thickness and strain gradients must be deconvolved by per-position metrology because cation transfer in PLD is fluence- and pressure-sensitive [50]; electron-yield detection is pressure-limited and surface-sensitive, so bulk-sensitive fluorescence yield runs alongside; and soft-X-ray photoreduction drives valence in the same direction as the gas-induced reduction under study, so dose series precede every descriptor claim.</w:t>
      </w:r>
    </w:p>
    <w:p>
      <w:pPr>
        <w:pStyle w:val="NormalWeb"/>
        <w:rPr>
          <w:rFonts w:ascii="Arial" w:hAnsi="Arial" w:cs="Arial"/>
          <w:sz w:val="21"/>
          <w:szCs w:val="21"/>
        </w:rPr>
      </w:pPr>
      <w:r>
        <w:rPr>
          <w:rFonts w:ascii="Arial" w:hAnsi="Arial" w:cs="Arial"/>
          <w:sz w:val="21"/>
          <w:szCs w:val="21"/>
        </w:rPr>
        <w:t xml:space="preserve">Descriptor construction (specified 08/2026): covalency is quantified as the ligand-hole weight w_L of the configuration-interaction ground state - the deviation of the d occupation from the formal valence, set by the charge-transfer energy, the d-d Coulomb energy and the transfer integrals [40, 41] within the Zaanen-Sawatzky-Allen classification [39]. Because O K pre-edge intensity probes unoccupied states whereas w_L is a ground-state quantity, the descriptor is built in three steps. (D1) The pre-edge area normalised per d hole - with the hole count taken from the transition-metal L2,3 fit at the same position rather than from the nominal stoichiometry - is the fast, mappable measure [15], its interpretation limits taken from the O K-edge methodology literature [16]. (D2) At six to ten support points per series, cluster-model analysis of the transition-metal 2p core-level satellites and of the L2,3 multiplets yields the charge-transfer energy, the Coulomb energy and the transfer integrals, and hence w_L itself [41], evaluated with charge-transfer multiplet and Wannier-based multiplet ligand-field codes [54, 55]. (D3) The regression between D1 and D2 converts the fast measure into a cluster-model-anchored covalency across all positions, with propagated uncertainty. Only this calibrated quantity enters the correlation with the vacancy formation energy; a pre-edge intensity on its own is treated as a series-internal relative measure and nothing more. Ambient-pressure endstations that combine core-level photoemission with NEXAFS allow D1 and D2 to be recorded at the same sample position [48], so the calibration is not carried across separate beamtimes. The descriptor is finally held to a model comparison against formal valence, tolerance factor and the uncalibrated pre-edge area; if it does not outperform them, that is reported as the result.</w:t>
      </w:r>
    </w:p>
    <w:p w14:paraId="6524C740" w14:textId="77777777" w:rsidR="00BF62FF" w:rsidRDefault="00BF62FF">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t>
      </w:r>
      <w:r>
        <w:rPr>
          <w:rFonts w:ascii="Arial" w:hAnsi="Arial" w:cs="Arial"/>
          <w:sz w:val="21"/>
          <w:szCs w:val="21"/>
        </w:rPr>
        <w:t xml:space="preserve">within the fellowship project I have grown a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chain-oxygen series, established the site-resolved O-K/Cu-L covalency scale at SSRL, and correlated it with switching in Au-contacted devices</w:t>
      </w:r>
      <w:r>
        <w:rPr>
          <w:rFonts w:ascii="Arial" w:hAnsi="Arial" w:cs="Arial"/>
          <w:sz w:val="21"/>
          <w:szCs w:val="21"/>
        </w:rPr>
        <w:t xml:space="preserve">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4EFCC84D" w14:textId="77777777" w:rsidR="00BF62FF" w:rsidRDefault="00BF62FF">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529D1AF2" w14:textId="77777777" w:rsidR="00BF62FF" w:rsidRDefault="00BF62FF">
      <w:pPr>
        <w:pStyle w:val="Heading2"/>
        <w:rPr>
          <w:rFonts w:ascii="Arial" w:eastAsia="Times New Roman" w:hAnsi="Arial" w:cs="Arial"/>
        </w:rPr>
      </w:pPr>
      <w:r>
        <w:rPr>
          <w:rFonts w:ascii="Arial" w:eastAsia="Times New Roman" w:hAnsi="Arial" w:cs="Arial"/>
        </w:rPr>
        <w:t>References (Part B1)</w:t>
      </w:r>
    </w:p>
    <w:p w14:paraId="701FA21C" w14:textId="77777777" w:rsidR="00BF62FF" w:rsidRDefault="00BF62FF">
      <w:pPr>
        <w:spacing w:after="60"/>
        <w:ind w:hanging="480"/>
        <w:divId w:val="295451038"/>
        <w:rPr>
          <w:rFonts w:ascii="Arial" w:hAnsi="Arial" w:cs="Arial"/>
          <w:sz w:val="18"/>
          <w:szCs w:val="18"/>
        </w:rPr>
      </w:pPr>
      <w:r>
        <w:rPr>
          <w:rFonts w:ascii="Arial" w:hAnsi="Arial" w:cs="Arial"/>
          <w:sz w:val="18"/>
          <w:szCs w:val="18"/>
        </w:rPr>
        <w:t>[1] R. Waser, M. Aono, Nature Materials 6, 833–840 (2007).</w:t>
      </w:r>
    </w:p>
    <w:p w14:paraId="089AF11B" w14:textId="77777777" w:rsidR="00BF62FF" w:rsidRDefault="00BF62FF">
      <w:pPr>
        <w:spacing w:after="60"/>
        <w:ind w:hanging="480"/>
        <w:divId w:val="295451038"/>
        <w:rPr>
          <w:rFonts w:ascii="Arial" w:hAnsi="Arial" w:cs="Arial"/>
          <w:sz w:val="18"/>
          <w:szCs w:val="18"/>
        </w:rPr>
      </w:pPr>
      <w:r>
        <w:rPr>
          <w:rFonts w:ascii="Arial" w:hAnsi="Arial" w:cs="Arial"/>
          <w:sz w:val="18"/>
          <w:szCs w:val="18"/>
        </w:rPr>
        <w:t>[2] R. Dittmann, S. Menzel, R. Waser, Advances in Physics 70, 155–349 (2021).</w:t>
      </w:r>
    </w:p>
    <w:p w14:paraId="3B203FB2" w14:textId="77777777" w:rsidR="00BF62FF" w:rsidRDefault="00BF62FF">
      <w:pPr>
        <w:spacing w:after="60"/>
        <w:ind w:hanging="480"/>
        <w:divId w:val="295451038"/>
        <w:rPr>
          <w:rFonts w:ascii="Arial" w:hAnsi="Arial" w:cs="Arial"/>
          <w:sz w:val="18"/>
          <w:szCs w:val="18"/>
        </w:rPr>
      </w:pPr>
      <w:r>
        <w:rPr>
          <w:rFonts w:ascii="Arial" w:hAnsi="Arial" w:cs="Arial"/>
          <w:sz w:val="18"/>
          <w:szCs w:val="18"/>
        </w:rPr>
        <w:t>[3] J. J. Yang, D. B. Strukov, D. R. Stewart, Nature Nanotechnology 8, 13–24 (2013).</w:t>
      </w:r>
    </w:p>
    <w:p w14:paraId="5F3873EB" w14:textId="77777777" w:rsidR="00BF62FF" w:rsidRDefault="00BF62FF">
      <w:pPr>
        <w:spacing w:after="60"/>
        <w:ind w:hanging="480"/>
        <w:divId w:val="295451038"/>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13C3D990" w14:textId="77777777" w:rsidR="00BF62FF" w:rsidRDefault="00BF62FF">
      <w:pPr>
        <w:spacing w:after="60"/>
        <w:ind w:hanging="480"/>
        <w:divId w:val="295451038"/>
        <w:rPr>
          <w:rFonts w:ascii="Arial" w:hAnsi="Arial" w:cs="Arial"/>
          <w:sz w:val="18"/>
          <w:szCs w:val="18"/>
        </w:rPr>
      </w:pPr>
      <w:r>
        <w:rPr>
          <w:rFonts w:ascii="Arial" w:hAnsi="Arial" w:cs="Arial"/>
          <w:sz w:val="18"/>
          <w:szCs w:val="18"/>
        </w:rPr>
        <w:t>[5] C. Baeumer et al., Nature Communications 6, 8610 (2015).</w:t>
      </w:r>
    </w:p>
    <w:p w14:paraId="5B7E1EF6" w14:textId="77777777" w:rsidR="00BF62FF" w:rsidRDefault="00BF62FF">
      <w:pPr>
        <w:spacing w:after="60"/>
        <w:ind w:hanging="480"/>
        <w:divId w:val="295451038"/>
        <w:rPr>
          <w:rFonts w:ascii="Arial" w:hAnsi="Arial" w:cs="Arial"/>
          <w:sz w:val="18"/>
          <w:szCs w:val="18"/>
        </w:rPr>
      </w:pPr>
      <w:r>
        <w:rPr>
          <w:rFonts w:ascii="Arial" w:hAnsi="Arial" w:cs="Arial"/>
          <w:sz w:val="18"/>
          <w:szCs w:val="18"/>
        </w:rPr>
        <w:t>[6] C. Baeumer et al., Nature Communications 7, 12398 (2016).</w:t>
      </w:r>
    </w:p>
    <w:p w14:paraId="10769F4F" w14:textId="77777777" w:rsidR="00BF62FF" w:rsidRDefault="00BF62FF">
      <w:pPr>
        <w:spacing w:after="60"/>
        <w:ind w:hanging="480"/>
        <w:divId w:val="295451038"/>
        <w:rPr>
          <w:rFonts w:ascii="Arial" w:hAnsi="Arial" w:cs="Arial"/>
          <w:sz w:val="18"/>
          <w:szCs w:val="18"/>
        </w:rPr>
      </w:pPr>
      <w:r>
        <w:rPr>
          <w:rFonts w:ascii="Arial" w:hAnsi="Arial" w:cs="Arial"/>
          <w:sz w:val="18"/>
          <w:szCs w:val="18"/>
        </w:rPr>
        <w:t>[7] Y.-L. Lee, J. Kleis, J. Rossmeisl, Y. Shao-Horn, D. Morgan, Energy &amp; Environmental Science 4, 3966–3970 (2011).</w:t>
      </w:r>
    </w:p>
    <w:p w14:paraId="31CA484E" w14:textId="77777777" w:rsidR="00BF62FF" w:rsidRDefault="00BF62FF">
      <w:pPr>
        <w:spacing w:after="60"/>
        <w:ind w:hanging="480"/>
        <w:divId w:val="295451038"/>
        <w:rPr>
          <w:rFonts w:ascii="Arial" w:hAnsi="Arial" w:cs="Arial"/>
          <w:sz w:val="18"/>
          <w:szCs w:val="18"/>
        </w:rPr>
      </w:pPr>
      <w:r>
        <w:rPr>
          <w:rFonts w:ascii="Arial" w:hAnsi="Arial" w:cs="Arial"/>
          <w:sz w:val="18"/>
          <w:szCs w:val="18"/>
        </w:rPr>
        <w:t>[8] R. Jacobs, J. Hwang, Y. Shao-Horn, D. Morgan, Chemistry of Materials 31, 785–797 (2019).</w:t>
      </w:r>
    </w:p>
    <w:p w14:paraId="3844B16D" w14:textId="77777777" w:rsidR="00BF62FF" w:rsidRDefault="00BF62FF">
      <w:pPr>
        <w:spacing w:after="60"/>
        <w:ind w:hanging="480"/>
        <w:divId w:val="295451038"/>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E577B50" w14:textId="77777777" w:rsidR="00BF62FF" w:rsidRDefault="00BF62FF">
      <w:pPr>
        <w:spacing w:after="60"/>
        <w:ind w:hanging="480"/>
        <w:divId w:val="295451038"/>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3D22884D" w14:textId="77777777" w:rsidR="00BF62FF" w:rsidRDefault="00BF62FF">
      <w:pPr>
        <w:spacing w:after="60"/>
        <w:ind w:hanging="480"/>
        <w:divId w:val="295451038"/>
        <w:rPr>
          <w:rFonts w:ascii="Arial" w:hAnsi="Arial" w:cs="Arial"/>
          <w:sz w:val="18"/>
          <w:szCs w:val="18"/>
        </w:rPr>
      </w:pPr>
      <w:r>
        <w:rPr>
          <w:rFonts w:ascii="Arial" w:hAnsi="Arial" w:cs="Arial"/>
          <w:sz w:val="18"/>
          <w:szCs w:val="18"/>
        </w:rPr>
        <w:t>[11] A. A. Emery, C. Wolverton, Scientific Data 4, 170153 (2017).</w:t>
      </w:r>
    </w:p>
    <w:p w14:paraId="70D3BC73" w14:textId="77777777" w:rsidR="00BF62FF" w:rsidRDefault="00BF62FF">
      <w:pPr>
        <w:spacing w:after="60"/>
        <w:ind w:hanging="480"/>
        <w:divId w:val="295451038"/>
        <w:rPr>
          <w:rFonts w:ascii="Arial" w:hAnsi="Arial" w:cs="Arial"/>
          <w:sz w:val="18"/>
          <w:szCs w:val="18"/>
        </w:rPr>
      </w:pPr>
      <w:r>
        <w:rPr>
          <w:rFonts w:ascii="Arial" w:hAnsi="Arial" w:cs="Arial"/>
          <w:sz w:val="18"/>
          <w:szCs w:val="18"/>
        </w:rPr>
        <w:t>[12] B. Baldassarri et al., Chemistry of Materials 35, 10619–10634 (2023).</w:t>
      </w:r>
    </w:p>
    <w:p w14:paraId="05F176C0" w14:textId="77777777" w:rsidR="00BF62FF" w:rsidRDefault="00BF62FF">
      <w:pPr>
        <w:spacing w:after="60"/>
        <w:ind w:hanging="480"/>
        <w:divId w:val="295451038"/>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1B6557AE" w14:textId="77777777" w:rsidR="00BF62FF" w:rsidRDefault="00BF62FF">
      <w:pPr>
        <w:spacing w:after="60"/>
        <w:ind w:hanging="480"/>
        <w:divId w:val="295451038"/>
        <w:rPr>
          <w:rFonts w:ascii="Arial" w:hAnsi="Arial" w:cs="Arial"/>
          <w:sz w:val="18"/>
          <w:szCs w:val="18"/>
        </w:rPr>
      </w:pPr>
      <w:r>
        <w:rPr>
          <w:rFonts w:ascii="Arial" w:hAnsi="Arial" w:cs="Arial"/>
          <w:sz w:val="18"/>
          <w:szCs w:val="18"/>
        </w:rPr>
        <w:t>[14] M. Abbate et al., Physical Review B 46, 4511–4519 (1992).</w:t>
      </w:r>
    </w:p>
    <w:p w14:paraId="19E15CF8" w14:textId="77777777" w:rsidR="00BF62FF" w:rsidRDefault="00BF62FF">
      <w:pPr>
        <w:spacing w:after="60"/>
        <w:ind w:hanging="480"/>
        <w:divId w:val="295451038"/>
        <w:rPr>
          <w:rFonts w:ascii="Arial" w:hAnsi="Arial" w:cs="Arial"/>
          <w:sz w:val="18"/>
          <w:szCs w:val="18"/>
        </w:rPr>
      </w:pPr>
      <w:r>
        <w:rPr>
          <w:rFonts w:ascii="Arial" w:hAnsi="Arial" w:cs="Arial"/>
          <w:sz w:val="18"/>
          <w:szCs w:val="18"/>
        </w:rPr>
        <w:t>[15] J. Suntivich et al., Journal of Physical Chemistry C 118, 1856–1863 (2014).</w:t>
      </w:r>
    </w:p>
    <w:p w14:paraId="75B856C1" w14:textId="77777777" w:rsidR="00BF62FF" w:rsidRDefault="00BF62FF">
      <w:pPr>
        <w:spacing w:after="60"/>
        <w:ind w:hanging="480"/>
        <w:divId w:val="295451038"/>
        <w:rPr>
          <w:rFonts w:ascii="Arial" w:hAnsi="Arial" w:cs="Arial"/>
          <w:sz w:val="18"/>
          <w:szCs w:val="18"/>
        </w:rPr>
      </w:pPr>
      <w:r>
        <w:rPr>
          <w:rFonts w:ascii="Arial" w:hAnsi="Arial" w:cs="Arial"/>
          <w:sz w:val="18"/>
          <w:szCs w:val="18"/>
        </w:rPr>
        <w:t>[16] F. Frati, M. O. J. Y. Hunault, F. M. F. de Groot, Chemical Reviews 120, 4056–4110 (2020).</w:t>
      </w:r>
    </w:p>
    <w:p w14:paraId="3BE520F3" w14:textId="77777777" w:rsidR="00BF62FF" w:rsidRDefault="00BF62FF">
      <w:pPr>
        <w:spacing w:after="60"/>
        <w:ind w:hanging="480"/>
        <w:divId w:val="295451038"/>
        <w:rPr>
          <w:rFonts w:ascii="Arial" w:hAnsi="Arial" w:cs="Arial"/>
          <w:sz w:val="18"/>
          <w:szCs w:val="18"/>
        </w:rPr>
      </w:pPr>
      <w:r>
        <w:rPr>
          <w:rFonts w:ascii="Arial" w:hAnsi="Arial" w:cs="Arial"/>
          <w:sz w:val="18"/>
          <w:szCs w:val="18"/>
        </w:rPr>
        <w:t>[17] M. Wuttig et al., Advanced Materials 35, 2208485 (2023).</w:t>
      </w:r>
    </w:p>
    <w:p w14:paraId="602DE769" w14:textId="77777777" w:rsidR="00BF62FF" w:rsidRDefault="00BF62FF">
      <w:pPr>
        <w:spacing w:after="60"/>
        <w:ind w:hanging="480"/>
        <w:divId w:val="295451038"/>
        <w:rPr>
          <w:rFonts w:ascii="Arial" w:hAnsi="Arial" w:cs="Arial"/>
          <w:sz w:val="18"/>
          <w:szCs w:val="18"/>
        </w:rPr>
      </w:pPr>
      <w:r>
        <w:rPr>
          <w:rFonts w:ascii="Arial" w:hAnsi="Arial" w:cs="Arial"/>
          <w:sz w:val="18"/>
          <w:szCs w:val="18"/>
        </w:rPr>
        <w:t>[18] R. Schmitt, J. Spring, R. Korobko, J. L. M. Rupp, ACS Nano 11, 8881–8891 (2017).</w:t>
      </w:r>
    </w:p>
    <w:p w14:paraId="5C139EE1" w14:textId="77777777" w:rsidR="00BF62FF" w:rsidRDefault="00BF62FF">
      <w:pPr>
        <w:spacing w:after="60"/>
        <w:ind w:hanging="480"/>
        <w:divId w:val="295451038"/>
        <w:rPr>
          <w:rFonts w:ascii="Arial" w:hAnsi="Arial" w:cs="Arial"/>
          <w:sz w:val="18"/>
          <w:szCs w:val="18"/>
        </w:rPr>
      </w:pPr>
      <w:r>
        <w:rPr>
          <w:rFonts w:ascii="Arial" w:hAnsi="Arial" w:cs="Arial"/>
          <w:sz w:val="18"/>
          <w:szCs w:val="18"/>
        </w:rPr>
        <w:t>[19] H. Jiang, D. A. Stewart, ACS Applied Materials &amp; Interfaces 9, 16296–16304 (2017).</w:t>
      </w:r>
    </w:p>
    <w:p w14:paraId="77C3019D" w14:textId="77777777" w:rsidR="00BF62FF" w:rsidRDefault="00BF62FF">
      <w:pPr>
        <w:spacing w:after="60"/>
        <w:ind w:hanging="480"/>
        <w:divId w:val="295451038"/>
        <w:rPr>
          <w:rFonts w:ascii="Arial" w:hAnsi="Arial" w:cs="Arial"/>
          <w:sz w:val="18"/>
          <w:szCs w:val="18"/>
        </w:rPr>
      </w:pPr>
      <w:r>
        <w:rPr>
          <w:rFonts w:ascii="Arial" w:hAnsi="Arial" w:cs="Arial"/>
          <w:sz w:val="18"/>
          <w:szCs w:val="18"/>
        </w:rPr>
        <w:t>[20] S. Asanuma, H. Akoh, H. Yamada, A. Sawa, Physical Review B 80, 235113 (2009).</w:t>
      </w:r>
    </w:p>
    <w:p w14:paraId="0F21E91C" w14:textId="77777777" w:rsidR="00BF62FF" w:rsidRDefault="00BF62FF">
      <w:pPr>
        <w:spacing w:after="60"/>
        <w:ind w:hanging="480"/>
        <w:divId w:val="295451038"/>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22F8A16E" w14:textId="77777777" w:rsidR="00BF62FF" w:rsidRDefault="00BF62FF">
      <w:pPr>
        <w:spacing w:after="60"/>
        <w:ind w:hanging="480"/>
        <w:divId w:val="295451038"/>
        <w:rPr>
          <w:rFonts w:ascii="Arial" w:hAnsi="Arial" w:cs="Arial"/>
          <w:sz w:val="18"/>
          <w:szCs w:val="18"/>
        </w:rPr>
      </w:pPr>
      <w:r>
        <w:rPr>
          <w:rFonts w:ascii="Arial" w:hAnsi="Arial" w:cs="Arial"/>
          <w:sz w:val="18"/>
          <w:szCs w:val="18"/>
        </w:rPr>
        <w:t>[22] E. Mikheev, J. Hwang, A. P. Kajdos, A. J. Hauser, S. Stemmer, Scientific Reports 5, 11079 (2015).</w:t>
      </w:r>
    </w:p>
    <w:p w14:paraId="3755ACAA" w14:textId="77777777" w:rsidR="00BF62FF" w:rsidRDefault="00BF62FF">
      <w:pPr>
        <w:spacing w:after="60"/>
        <w:ind w:hanging="480"/>
        <w:divId w:val="295451038"/>
        <w:rPr>
          <w:rFonts w:ascii="Arial" w:hAnsi="Arial" w:cs="Arial"/>
          <w:sz w:val="18"/>
          <w:szCs w:val="18"/>
        </w:rPr>
      </w:pPr>
      <w:r>
        <w:rPr>
          <w:rFonts w:ascii="Arial" w:hAnsi="Arial" w:cs="Arial"/>
          <w:sz w:val="18"/>
          <w:szCs w:val="18"/>
        </w:rPr>
        <w:t>[23] V. R. Nallagatla et al., Advanced Materials 31, 1903391 (2019).</w:t>
      </w:r>
    </w:p>
    <w:p w14:paraId="6CCDB5F8" w14:textId="77777777" w:rsidR="00BF62FF" w:rsidRDefault="00BF62FF">
      <w:pPr>
        <w:spacing w:after="60"/>
        <w:ind w:hanging="480"/>
        <w:divId w:val="295451038"/>
        <w:rPr>
          <w:rFonts w:ascii="Arial" w:hAnsi="Arial" w:cs="Arial"/>
          <w:sz w:val="18"/>
          <w:szCs w:val="18"/>
        </w:rPr>
      </w:pPr>
      <w:r>
        <w:rPr>
          <w:rFonts w:ascii="Arial" w:hAnsi="Arial" w:cs="Arial"/>
          <w:sz w:val="18"/>
          <w:szCs w:val="18"/>
        </w:rPr>
        <w:t>[24] J. Tian et al., Advanced Materials 31, 1903679 (2019).</w:t>
      </w:r>
    </w:p>
    <w:p w14:paraId="2ACADE7C" w14:textId="77777777" w:rsidR="00BF62FF" w:rsidRDefault="00BF62FF">
      <w:pPr>
        <w:spacing w:after="60"/>
        <w:ind w:hanging="480"/>
        <w:divId w:val="295451038"/>
        <w:rPr>
          <w:rFonts w:ascii="Arial" w:hAnsi="Arial" w:cs="Arial"/>
          <w:sz w:val="18"/>
          <w:szCs w:val="18"/>
        </w:rPr>
      </w:pPr>
      <w:r>
        <w:rPr>
          <w:rFonts w:ascii="Arial" w:hAnsi="Arial" w:cs="Arial"/>
          <w:sz w:val="18"/>
          <w:szCs w:val="18"/>
        </w:rPr>
        <w:t>[25] X. Mou et al., Science Advances 7, eabh0648 (2021).</w:t>
      </w:r>
    </w:p>
    <w:p w14:paraId="43C60A65" w14:textId="77777777" w:rsidR="00BF62FF" w:rsidRDefault="00BF62FF">
      <w:pPr>
        <w:spacing w:after="60"/>
        <w:ind w:hanging="480"/>
        <w:divId w:val="295451038"/>
        <w:rPr>
          <w:rFonts w:ascii="Arial" w:hAnsi="Arial" w:cs="Arial"/>
          <w:sz w:val="18"/>
          <w:szCs w:val="18"/>
        </w:rPr>
      </w:pPr>
      <w:r>
        <w:rPr>
          <w:rFonts w:ascii="Arial" w:hAnsi="Arial" w:cs="Arial"/>
          <w:sz w:val="18"/>
          <w:szCs w:val="18"/>
        </w:rPr>
        <w:t>[26] P. Nizet et al., Applied Physics Reviews 11, 041426 (2024).</w:t>
      </w:r>
    </w:p>
    <w:p w14:paraId="1F89AC3F" w14:textId="77777777" w:rsidR="00BF62FF" w:rsidRDefault="00BF62FF">
      <w:pPr>
        <w:spacing w:after="60"/>
        <w:ind w:hanging="480"/>
        <w:divId w:val="295451038"/>
        <w:rPr>
          <w:rFonts w:ascii="Arial" w:hAnsi="Arial" w:cs="Arial"/>
          <w:sz w:val="18"/>
          <w:szCs w:val="18"/>
        </w:rPr>
      </w:pPr>
      <w:r>
        <w:rPr>
          <w:rFonts w:ascii="Arial" w:hAnsi="Arial" w:cs="Arial"/>
          <w:sz w:val="18"/>
          <w:szCs w:val="18"/>
        </w:rPr>
        <w:t>[27] U. Aschauer, R. Pfenninger, S. M. Selbach, T. Grande, N. A. Spaldin, Physical Review B 88, 054111 (2013).</w:t>
      </w:r>
    </w:p>
    <w:p w14:paraId="7FA1A168" w14:textId="77777777" w:rsidR="00BF62FF" w:rsidRDefault="00BF62FF">
      <w:pPr>
        <w:spacing w:after="60"/>
        <w:ind w:hanging="480"/>
        <w:divId w:val="295451038"/>
        <w:rPr>
          <w:rFonts w:ascii="Arial" w:hAnsi="Arial" w:cs="Arial"/>
          <w:sz w:val="18"/>
          <w:szCs w:val="18"/>
        </w:rPr>
      </w:pPr>
      <w:r>
        <w:rPr>
          <w:rFonts w:ascii="Arial" w:hAnsi="Arial" w:cs="Arial"/>
          <w:sz w:val="18"/>
          <w:szCs w:val="18"/>
        </w:rPr>
        <w:t>[28] M. Kubicek et al., ACS Nano 7, 3276–3286 (2013).</w:t>
      </w:r>
    </w:p>
    <w:p w14:paraId="76BA1FA5" w14:textId="77777777" w:rsidR="00BF62FF" w:rsidRDefault="00BF62FF">
      <w:pPr>
        <w:spacing w:after="60"/>
        <w:ind w:hanging="480"/>
        <w:divId w:val="295451038"/>
        <w:rPr>
          <w:rFonts w:ascii="Arial" w:hAnsi="Arial" w:cs="Arial"/>
          <w:sz w:val="18"/>
          <w:szCs w:val="18"/>
        </w:rPr>
      </w:pPr>
      <w:r>
        <w:rPr>
          <w:rFonts w:ascii="Arial" w:hAnsi="Arial" w:cs="Arial"/>
          <w:sz w:val="18"/>
          <w:szCs w:val="18"/>
        </w:rPr>
        <w:t>[29] G. J. H. M. Rijnders, G. Koster, D. H. A. Blank, H. Rogalla, Applied Physics Letters 70, 1888–1890 (1997).</w:t>
      </w:r>
    </w:p>
    <w:p w14:paraId="5D5CE95C" w14:textId="77777777" w:rsidR="00BF62FF" w:rsidRDefault="00BF62FF">
      <w:pPr>
        <w:spacing w:after="60"/>
        <w:ind w:hanging="480"/>
        <w:divId w:val="295451038"/>
        <w:rPr>
          <w:rFonts w:ascii="Arial" w:hAnsi="Arial" w:cs="Arial"/>
          <w:sz w:val="18"/>
          <w:szCs w:val="18"/>
        </w:rPr>
      </w:pPr>
      <w:r>
        <w:rPr>
          <w:rFonts w:ascii="Arial" w:hAnsi="Arial" w:cs="Arial"/>
          <w:sz w:val="18"/>
          <w:szCs w:val="18"/>
        </w:rPr>
        <w:t>[30] S. G. Choi, H.-S. Lee, H. Choi, S.-W. Chung, H.-H. Park, Thin Solid Films 529, 352–355 (2013).</w:t>
      </w:r>
    </w:p>
    <w:p>
      <w:pPr>
        <w:spacing w:after="60"/>
        <w:ind w:hanging="480"/>
        <w:divId w:val="295451038"/>
        <w:rPr>
          <w:rFonts w:ascii="Arial" w:hAnsi="Arial" w:cs="Arial"/>
          <w:sz w:val="18"/>
          <w:szCs w:val="18"/>
        </w:rPr>
      </w:pPr>
      <w:r>
        <w:rPr>
          <w:rFonts w:ascii="Arial" w:hAnsi="Arial" w:cs="Arial"/>
          <w:sz w:val="18"/>
          <w:szCs w:val="18"/>
        </w:rPr>
        <w:t xml:space="preserve">[31] A. Sarantopoulos, K. Lange, F. Rivadulla, S. Menzel, R. Dittmann, Advanced Electronic Materials 11, 2400555 (2025).</w:t>
      </w:r>
    </w:p>
    <w:p>
      <w:pPr>
        <w:spacing w:after="60"/>
        <w:ind w:hanging="480"/>
        <w:divId w:val="295451038"/>
        <w:rPr>
          <w:rFonts w:ascii="Arial" w:hAnsi="Arial" w:cs="Arial"/>
          <w:sz w:val="18"/>
          <w:szCs w:val="18"/>
        </w:rPr>
      </w:pPr>
      <w:r>
        <w:rPr>
          <w:rFonts w:ascii="Arial" w:hAnsi="Arial" w:cs="Arial"/>
          <w:sz w:val="18"/>
          <w:szCs w:val="18"/>
        </w:rPr>
        <w:t xml:space="preserve">[32] M. Mladenović, M. Kaniselvan, C. Weilenmann, A. Emboras, M. Luisier, ACS Applied Electronic Materials 7, 2839–2847 (2025).</w:t>
      </w:r>
    </w:p>
    <w:p>
      <w:pPr>
        <w:spacing w:after="60"/>
        <w:ind w:hanging="480"/>
        <w:divId w:val="295451038"/>
        <w:rPr>
          <w:rFonts w:ascii="Arial" w:hAnsi="Arial" w:cs="Arial"/>
          <w:sz w:val="18"/>
          <w:szCs w:val="18"/>
        </w:rPr>
      </w:pPr>
      <w:r>
        <w:rPr>
          <w:rFonts w:ascii="Arial" w:hAnsi="Arial" w:cs="Arial"/>
          <w:sz w:val="18"/>
          <w:szCs w:val="18"/>
        </w:rPr>
        <w:t xml:space="preserve">[33] A. Schulman, H. Huhtinen, P. Paturi, Journal of Physics D: Applied Physics 57, 422001 (2024).</w:t>
      </w:r>
    </w:p>
    <w:p>
      <w:pPr>
        <w:spacing w:after="60"/>
        <w:ind w:hanging="480"/>
        <w:divId w:val="295451038"/>
        <w:rPr>
          <w:rFonts w:ascii="Arial" w:hAnsi="Arial" w:cs="Arial"/>
          <w:sz w:val="18"/>
          <w:szCs w:val="18"/>
        </w:rPr>
      </w:pPr>
      <w:r>
        <w:rPr>
          <w:rFonts w:ascii="Arial" w:hAnsi="Arial" w:cs="Arial"/>
          <w:sz w:val="18"/>
          <w:szCs w:val="18"/>
        </w:rPr>
        <w:t xml:space="preserve">[34] J. A. Santana, J. T. Krogel, P. R. C. Kent, F. A. Reboredo, The Journal of Chemical Physics 147, 034701 (2017).</w:t>
      </w:r>
    </w:p>
    <w:p>
      <w:pPr>
        <w:spacing w:after="60"/>
        <w:ind w:hanging="480"/>
        <w:divId w:val="295451038"/>
        <w:rPr>
          <w:rFonts w:ascii="Arial" w:hAnsi="Arial" w:cs="Arial"/>
          <w:sz w:val="18"/>
          <w:szCs w:val="18"/>
        </w:rPr>
      </w:pPr>
      <w:r>
        <w:rPr>
          <w:rFonts w:ascii="Arial" w:hAnsi="Arial" w:cs="Arial"/>
          <w:sz w:val="18"/>
          <w:szCs w:val="18"/>
        </w:rPr>
        <w:t xml:space="preserve">[35] A. Antola et al., ACS Applied Electronic Materials 7, 4242–4250 (2025).</w:t>
      </w:r>
    </w:p>
    <w:p>
      <w:pPr>
        <w:spacing w:after="60"/>
        <w:ind w:hanging="480"/>
        <w:divId w:val="295451038"/>
        <w:rPr>
          <w:rFonts w:ascii="Arial" w:hAnsi="Arial" w:cs="Arial"/>
          <w:sz w:val="18"/>
          <w:szCs w:val="18"/>
        </w:rPr>
      </w:pPr>
      <w:r>
        <w:rPr>
          <w:rFonts w:ascii="Arial" w:hAnsi="Arial" w:cs="Arial"/>
          <w:sz w:val="18"/>
          <w:szCs w:val="18"/>
        </w:rPr>
        <w:t xml:space="preserve">[36] T. Kramer, M. Scherff, D. Mierwaldt, J. Hoffmann, C. Jooss, Applied Physics Letters 110, 243502 (2017).</w:t>
      </w:r>
    </w:p>
    <w:p>
      <w:pPr>
        <w:spacing w:after="60"/>
        <w:ind w:hanging="480"/>
        <w:divId w:val="295451038"/>
        <w:rPr>
          <w:rFonts w:ascii="Arial" w:hAnsi="Arial" w:cs="Arial"/>
          <w:sz w:val="18"/>
          <w:szCs w:val="18"/>
        </w:rPr>
      </w:pPr>
      <w:r>
        <w:rPr>
          <w:rFonts w:ascii="Arial" w:hAnsi="Arial" w:cs="Arial"/>
          <w:sz w:val="18"/>
          <w:szCs w:val="18"/>
        </w:rPr>
        <w:t xml:space="preserve">[37] S. K. Acharya et al., ACS Applied Materials &amp; Interfaces 8, 7902–7911 (2016).</w:t>
      </w:r>
    </w:p>
    <w:p>
      <w:pPr>
        <w:spacing w:after="60"/>
        <w:ind w:hanging="480"/>
        <w:divId w:val="295451038"/>
        <w:rPr>
          <w:rFonts w:ascii="Arial" w:hAnsi="Arial" w:cs="Arial"/>
          <w:sz w:val="18"/>
          <w:szCs w:val="18"/>
        </w:rPr>
      </w:pPr>
      <w:r>
        <w:rPr>
          <w:rFonts w:ascii="Arial" w:hAnsi="Arial" w:cs="Arial"/>
          <w:sz w:val="18"/>
          <w:szCs w:val="18"/>
        </w:rPr>
        <w:t xml:space="preserve">[38] C. Acha, M. J. Rozenberg, Journal of Physics: Condensed Matter 21, 045702 (2009).</w:t>
      </w:r>
    </w:p>
    <w:p>
      <w:pPr>
        <w:spacing w:after="60"/>
        <w:ind w:hanging="480"/>
        <w:divId w:val="295451038"/>
        <w:rPr>
          <w:rFonts w:ascii="Arial" w:hAnsi="Arial" w:cs="Arial"/>
          <w:sz w:val="18"/>
          <w:szCs w:val="18"/>
        </w:rPr>
      </w:pPr>
      <w:r>
        <w:rPr>
          <w:rFonts w:ascii="Arial" w:hAnsi="Arial" w:cs="Arial"/>
          <w:sz w:val="18"/>
          <w:szCs w:val="18"/>
        </w:rPr>
        <w:t xml:space="preserve">[39] J. Zaanen, G. A. Sawatzky, J. W. Allen, Physical Review Letters 55, 418–421 (1985).</w:t>
      </w:r>
    </w:p>
    <w:p>
      <w:pPr>
        <w:spacing w:after="60"/>
        <w:ind w:hanging="480"/>
        <w:divId w:val="295451038"/>
        <w:rPr>
          <w:rFonts w:ascii="Arial" w:hAnsi="Arial" w:cs="Arial"/>
          <w:sz w:val="18"/>
          <w:szCs w:val="18"/>
        </w:rPr>
      </w:pPr>
      <w:r>
        <w:rPr>
          <w:rFonts w:ascii="Arial" w:hAnsi="Arial" w:cs="Arial"/>
          <w:sz w:val="18"/>
          <w:szCs w:val="18"/>
        </w:rPr>
        <w:t xml:space="preserve">[40] A. Fujimori, F. Minami, Physical Review B 30, 957–971 (1984).</w:t>
      </w:r>
    </w:p>
    <w:p>
      <w:pPr>
        <w:spacing w:after="60"/>
        <w:ind w:hanging="480"/>
        <w:divId w:val="295451038"/>
        <w:rPr>
          <w:rFonts w:ascii="Arial" w:hAnsi="Arial" w:cs="Arial"/>
          <w:sz w:val="18"/>
          <w:szCs w:val="18"/>
        </w:rPr>
      </w:pPr>
      <w:r>
        <w:rPr>
          <w:rFonts w:ascii="Arial" w:hAnsi="Arial" w:cs="Arial"/>
          <w:sz w:val="18"/>
          <w:szCs w:val="18"/>
        </w:rPr>
        <w:t xml:space="preserve">[41] A. E. Bocquet, T. Mizokawa, T. Saitoh, H. Namatame, A. Fujimori, Physical Review B 46, 3771–3784 (1992).</w:t>
      </w:r>
    </w:p>
    <w:p>
      <w:pPr>
        <w:spacing w:after="60"/>
        <w:ind w:hanging="480"/>
        <w:divId w:val="295451038"/>
        <w:rPr>
          <w:rFonts w:ascii="Arial" w:hAnsi="Arial" w:cs="Arial"/>
          <w:sz w:val="18"/>
          <w:szCs w:val="18"/>
        </w:rPr>
      </w:pPr>
      <w:r>
        <w:rPr>
          <w:rFonts w:ascii="Arial" w:hAnsi="Arial" w:cs="Arial"/>
          <w:sz w:val="18"/>
          <w:szCs w:val="18"/>
        </w:rPr>
        <w:t xml:space="preserve">[42] T. Saitoh, A. E. Bocquet, T. Mizokawa, A. Fujimori, Physical Review B 52, 7934–7938 (1995).</w:t>
      </w:r>
    </w:p>
    <w:p>
      <w:pPr>
        <w:spacing w:after="60"/>
        <w:ind w:hanging="480"/>
        <w:divId w:val="295451038"/>
        <w:rPr>
          <w:rFonts w:ascii="Arial" w:hAnsi="Arial" w:cs="Arial"/>
          <w:sz w:val="18"/>
          <w:szCs w:val="18"/>
        </w:rPr>
      </w:pPr>
      <w:r>
        <w:rPr>
          <w:rFonts w:ascii="Arial" w:hAnsi="Arial" w:cs="Arial"/>
          <w:sz w:val="18"/>
          <w:szCs w:val="18"/>
        </w:rPr>
        <w:t xml:space="preserve">[43] S. Nimkar, D. D. Sarma, H. R. Krishnamurthy, S. Ramasesha, Physical Review B 48, 7355–7363 (1993).</w:t>
      </w:r>
    </w:p>
    <w:p>
      <w:pPr>
        <w:spacing w:after="60"/>
        <w:ind w:hanging="480"/>
        <w:divId w:val="295451038"/>
        <w:rPr>
          <w:rFonts w:ascii="Arial" w:hAnsi="Arial" w:cs="Arial"/>
          <w:sz w:val="18"/>
          <w:szCs w:val="18"/>
        </w:rPr>
      </w:pPr>
      <w:r>
        <w:rPr>
          <w:rFonts w:ascii="Arial" w:hAnsi="Arial" w:cs="Arial"/>
          <w:sz w:val="18"/>
          <w:szCs w:val="18"/>
        </w:rPr>
        <w:t xml:space="preserve">[44] H. M. Christen, C. M. Rouleau, I. Ohkubo, H. Y. Zhai, H. N. Lee, S. Sathyamurthy, D. H. Lowndes, Review of Scientific Instruments 74, 4058-4062 (2003).</w:t>
      </w:r>
    </w:p>
    <w:p>
      <w:pPr>
        <w:spacing w:after="60"/>
        <w:ind w:hanging="480"/>
        <w:divId w:val="295451038"/>
        <w:rPr>
          <w:rFonts w:ascii="Arial" w:hAnsi="Arial" w:cs="Arial"/>
          <w:sz w:val="18"/>
          <w:szCs w:val="18"/>
        </w:rPr>
      </w:pPr>
      <w:r>
        <w:rPr>
          <w:rFonts w:ascii="Arial" w:hAnsi="Arial" w:cs="Arial"/>
          <w:sz w:val="18"/>
          <w:szCs w:val="18"/>
        </w:rPr>
        <w:t xml:space="preserve">[45] M. Lorenz, H. Hochmuth, H. von Wenckstern, M. Grundmann, Review of Scientific Instruments 94, 083905 (2023).</w:t>
      </w:r>
    </w:p>
    <w:p>
      <w:pPr>
        <w:spacing w:after="60"/>
        <w:ind w:hanging="480"/>
        <w:divId w:val="295451038"/>
        <w:rPr>
          <w:rFonts w:ascii="Arial" w:hAnsi="Arial" w:cs="Arial"/>
          <w:sz w:val="18"/>
          <w:szCs w:val="18"/>
        </w:rPr>
      </w:pPr>
      <w:r>
        <w:rPr>
          <w:rFonts w:ascii="Arial" w:hAnsi="Arial" w:cs="Arial"/>
          <w:sz w:val="18"/>
          <w:szCs w:val="18"/>
        </w:rPr>
        <w:t xml:space="preserve">[46] A. Venimadhav, K. A. Yates, M. G. Blamire, Journal of Combinatorial Chemistry 7, 85-89 (2005).</w:t>
      </w:r>
    </w:p>
    <w:p>
      <w:pPr>
        <w:spacing w:after="60"/>
        <w:ind w:hanging="480"/>
        <w:divId w:val="295451038"/>
        <w:rPr>
          <w:rFonts w:ascii="Arial" w:hAnsi="Arial" w:cs="Arial"/>
          <w:sz w:val="18"/>
          <w:szCs w:val="18"/>
        </w:rPr>
      </w:pPr>
      <w:r>
        <w:rPr>
          <w:rFonts w:ascii="Arial" w:hAnsi="Arial" w:cs="Arial"/>
          <w:sz w:val="18"/>
          <w:szCs w:val="18"/>
        </w:rPr>
        <w:t xml:space="preserve">[47] Y. Yamasaki, N. Sasabe, Y. Ishii et al., Science and Technology of Advanced Materials: Methods 5, 2544528 (2025). [volume/article number from a single source - verify]</w:t>
      </w:r>
    </w:p>
    <w:p>
      <w:pPr>
        <w:spacing w:after="60"/>
        <w:ind w:hanging="480"/>
        <w:divId w:val="295451038"/>
        <w:rPr>
          <w:rFonts w:ascii="Arial" w:hAnsi="Arial" w:cs="Arial"/>
          <w:sz w:val="18"/>
          <w:szCs w:val="18"/>
        </w:rPr>
      </w:pPr>
      <w:r>
        <w:rPr>
          <w:rFonts w:ascii="Arial" w:hAnsi="Arial" w:cs="Arial"/>
          <w:sz w:val="18"/>
          <w:szCs w:val="18"/>
        </w:rPr>
        <w:t xml:space="preserve">[48] D. C. Grinter, P. Ferrer, F. Venturini et al., Journal of Synchrotron Radiation 31, 578-589 (2024).</w:t>
      </w:r>
    </w:p>
    <w:p>
      <w:pPr>
        <w:spacing w:after="60"/>
        <w:ind w:hanging="480"/>
        <w:divId w:val="295451038"/>
        <w:rPr>
          <w:rFonts w:ascii="Arial" w:hAnsi="Arial" w:cs="Arial"/>
          <w:sz w:val="18"/>
          <w:szCs w:val="18"/>
        </w:rPr>
      </w:pPr>
      <w:r>
        <w:rPr>
          <w:rFonts w:ascii="Arial" w:hAnsi="Arial" w:cs="Arial"/>
          <w:sz w:val="18"/>
          <w:szCs w:val="18"/>
        </w:rPr>
        <w:t xml:space="preserve">[49] M. Tang, L. Dai, M. Cheng et al., Advanced Functional Materials 33, 2213874 (2023).</w:t>
      </w:r>
    </w:p>
    <w:p>
      <w:pPr>
        <w:spacing w:after="60"/>
        <w:ind w:hanging="480"/>
        <w:divId w:val="295451038"/>
        <w:rPr>
          <w:rFonts w:ascii="Arial" w:hAnsi="Arial" w:cs="Arial"/>
          <w:sz w:val="18"/>
          <w:szCs w:val="18"/>
        </w:rPr>
      </w:pPr>
      <w:r>
        <w:rPr>
          <w:rFonts w:ascii="Arial" w:hAnsi="Arial" w:cs="Arial"/>
          <w:sz w:val="18"/>
          <w:szCs w:val="18"/>
        </w:rPr>
        <w:t xml:space="preserve">[50] S. Wicklein, A. Sambri, S. Amoruso, X. Wang, R. Bruzzese, A. Koehl, R. Dittmann, Applied Physics Letters 101, 131601 (2012).</w:t>
      </w:r>
    </w:p>
    <w:p>
      <w:pPr>
        <w:spacing w:after="60"/>
        <w:ind w:hanging="480"/>
        <w:divId w:val="295451038"/>
        <w:rPr>
          <w:rFonts w:ascii="Arial" w:hAnsi="Arial" w:cs="Arial"/>
          <w:sz w:val="18"/>
          <w:szCs w:val="18"/>
        </w:rPr>
      </w:pPr>
      <w:r>
        <w:rPr>
          <w:rFonts w:ascii="Arial" w:hAnsi="Arial" w:cs="Arial"/>
          <w:sz w:val="18"/>
          <w:szCs w:val="18"/>
        </w:rPr>
        <w:t xml:space="preserve">[51] W. C. Chueh, S. M. Haile, Physical Chemistry Chemical Physics 11, 8144-8148 (2009).</w:t>
      </w:r>
    </w:p>
    <w:p>
      <w:pPr>
        <w:spacing w:after="60"/>
        <w:ind w:hanging="480"/>
        <w:divId w:val="295451038"/>
        <w:rPr>
          <w:rFonts w:ascii="Arial" w:hAnsi="Arial" w:cs="Arial"/>
          <w:sz w:val="18"/>
          <w:szCs w:val="18"/>
        </w:rPr>
      </w:pPr>
      <w:r>
        <w:rPr>
          <w:rFonts w:ascii="Arial" w:hAnsi="Arial" w:cs="Arial"/>
          <w:sz w:val="18"/>
          <w:szCs w:val="18"/>
        </w:rPr>
        <w:t xml:space="preserve">[52] A. Schmid, G. M. Rupp, J. Fleig, Physical Chemistry Chemical Physics 20, 12016-12026 (2018).</w:t>
      </w:r>
    </w:p>
    <w:p>
      <w:pPr>
        <w:spacing w:after="60"/>
        <w:ind w:hanging="480"/>
        <w:divId w:val="295451038"/>
        <w:rPr>
          <w:rFonts w:ascii="Arial" w:hAnsi="Arial" w:cs="Arial"/>
          <w:sz w:val="18"/>
          <w:szCs w:val="18"/>
        </w:rPr>
      </w:pPr>
      <w:r>
        <w:rPr>
          <w:rFonts w:ascii="Arial" w:hAnsi="Arial" w:cs="Arial"/>
          <w:sz w:val="18"/>
          <w:szCs w:val="18"/>
        </w:rPr>
        <w:t xml:space="preserve">[53] J. J. Kim, S. R. Bishop, N. J. Thompson, H. L. Tuller, Chemistry of Materials 26, 1374-1379 (2014).</w:t>
      </w:r>
    </w:p>
    <w:p>
      <w:pPr>
        <w:spacing w:after="60"/>
        <w:ind w:hanging="480"/>
        <w:divId w:val="295451038"/>
        <w:rPr>
          <w:rFonts w:ascii="Arial" w:hAnsi="Arial" w:cs="Arial"/>
          <w:sz w:val="18"/>
          <w:szCs w:val="18"/>
        </w:rPr>
      </w:pPr>
      <w:r>
        <w:rPr>
          <w:rFonts w:ascii="Arial" w:hAnsi="Arial" w:cs="Arial"/>
          <w:sz w:val="18"/>
          <w:szCs w:val="18"/>
        </w:rPr>
        <w:t xml:space="preserve">[54] E. Stavitski, F. M. F. de Groot, Micron 41, 687-694 (2010).</w:t>
      </w:r>
    </w:p>
    <w:p>
      <w:pPr>
        <w:spacing w:after="60"/>
        <w:ind w:hanging="480"/>
        <w:divId w:val="295451038"/>
        <w:rPr>
          <w:rFonts w:ascii="Arial" w:hAnsi="Arial" w:cs="Arial"/>
          <w:sz w:val="18"/>
          <w:szCs w:val="18"/>
        </w:rPr>
      </w:pPr>
      <w:r>
        <w:rPr>
          <w:rFonts w:ascii="Arial" w:hAnsi="Arial" w:cs="Arial"/>
          <w:sz w:val="18"/>
          <w:szCs w:val="18"/>
        </w:rPr>
        <w:t xml:space="preserve">[55] M. W. Haverkort, M. Zwierzycki, O. K. Andersen, Physical Review B 85, 165113 (2012).</w:t>
      </w:r>
    </w:p>
    <w:p w14:paraId="50716854" w14:textId="77777777" w:rsidR="00BF62FF" w:rsidRDefault="00BF62FF">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29BC4CA9" w14:textId="77777777" w:rsidR="00BF62FF" w:rsidRDefault="00BF62FF">
      <w:pPr>
        <w:pStyle w:val="Heading2"/>
        <w:rPr>
          <w:rFonts w:ascii="Arial" w:eastAsia="Times New Roman" w:hAnsi="Arial" w:cs="Arial"/>
        </w:rPr>
      </w:pPr>
      <w:r>
        <w:rPr>
          <w:rFonts w:ascii="Arial" w:eastAsia="Times New Roman" w:hAnsi="Arial" w:cs="Arial"/>
        </w:rPr>
        <w:t>Personal details</w:t>
      </w:r>
    </w:p>
    <w:p w14:paraId="37D5C9AF" w14:textId="77777777" w:rsidR="00BF62FF" w:rsidRDefault="00BF62FF">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1FA713B2" w14:textId="77777777" w:rsidR="00BF62FF" w:rsidRDefault="00BF62FF">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4719C8E5"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7AB545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2CEEAF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63F140D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3CE2F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CF00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 xml:space="preserve">Feodor Lynen Research Fellow (Alexander von Humboldt Foundation), group of Prof. W. C. Chueh, Stanford University / SLAC – </w:t>
            </w:r>
            <w:r>
              <w:rPr>
                <w:rFonts w:ascii="Arial" w:eastAsia="Times New Roman" w:hAnsi="Arial" w:cs="Arial"/>
                <w:sz w:val="19"/>
                <w:szCs w:val="19"/>
              </w:rPr>
              <w:t xml:space="preserve">covalency descriptors beyond the perovskites: epitaxial </w:t>
            </w:r>
            <w:r>
              <w:rPr>
                <w:rFonts w:ascii="Arial" w:eastAsia="Times New Roman" w:hAnsi="Arial" w:cs="Arial"/>
                <w:sz w:val="19"/>
                <w:szCs w:val="19"/>
              </w:rPr>
              <w:t xml:space="preserve">YBa</w:t>
            </w:r>
            <w:r>
              <w:rPr>
                <w:rFonts w:ascii="Arial" w:eastAsia="Times New Roman" w:hAnsi="Arial" w:cs="Arial"/>
                <w:sz w:val="19"/>
                <w:szCs w:val="19"/>
                <w:vertAlign w:val="subscript"/>
              </w:rPr>
              <w:t xml:space="preserve">2</w:t>
            </w:r>
            <w:r>
              <w:rPr>
                <w:rFonts w:ascii="Arial" w:eastAsia="Times New Roman" w:hAnsi="Arial" w:cs="Arial"/>
                <w:sz w:val="19"/>
                <w:szCs w:val="19"/>
              </w:rPr>
              <w:t xml:space="preserve">Cu</w:t>
            </w:r>
            <w:r>
              <w:rPr>
                <w:rFonts w:ascii="Arial" w:eastAsia="Times New Roman" w:hAnsi="Arial" w:cs="Arial"/>
                <w:sz w:val="19"/>
                <w:szCs w:val="19"/>
                <w:vertAlign w:val="subscript"/>
              </w:rPr>
              <w:t xml:space="preserve">3</w:t>
            </w:r>
            <w:r>
              <w:rPr>
                <w:rFonts w:ascii="Arial" w:eastAsia="Times New Roman" w:hAnsi="Arial" w:cs="Arial"/>
                <w:sz w:val="19"/>
                <w:szCs w:val="19"/>
              </w:rPr>
              <w:t xml:space="preserve">O</w:t>
            </w:r>
            <w:r>
              <w:rPr>
                <w:rFonts w:ascii="Arial" w:eastAsia="Times New Roman" w:hAnsi="Arial" w:cs="Arial"/>
                <w:sz w:val="19"/>
                <w:szCs w:val="19"/>
                <w:vertAlign w:val="subscript"/>
              </w:rPr>
              <w:t xml:space="preserve">7-δ</w:t>
            </w:r>
            <w:r>
              <w:rPr>
                <w:rFonts w:ascii="Arial" w:eastAsia="Times New Roman" w:hAnsi="Arial" w:cs="Arial"/>
                <w:sz w:val="19"/>
                <w:szCs w:val="19"/>
              </w:rPr>
              <w:t xml:space="preserve"> chain-oxygen series with Au-contact devices, XAS</w:t>
            </w:r>
            <w:r>
              <w:rPr>
                <w:rFonts w:ascii="Arial" w:eastAsia="Times New Roman" w:hAnsi="Arial" w:cs="Arial"/>
                <w:sz w:val="19"/>
                <w:szCs w:val="19"/>
              </w:rPr>
              <w:t xml:space="preserve"> covalency scale at SSRL [manuscript in preparation, P1]</w:t>
            </w:r>
          </w:p>
        </w:tc>
      </w:tr>
      <w:tr w:rsidR="00000000" w14:paraId="7C2ADE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5255F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B801D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24732F2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A60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1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[defence date to be inserted]</w:t>
            </w:r>
          </w:p>
        </w:tc>
      </w:tr>
      <w:tr w:rsidR="00000000" w14:paraId="2AEA02D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414A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81F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7BDC962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7B275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A090B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5879D9B8" w14:textId="77777777" w:rsidR="00BF62FF" w:rsidRDefault="00BF62FF">
      <w:pPr>
        <w:pStyle w:val="Heading2"/>
        <w:rPr>
          <w:rFonts w:ascii="Arial" w:eastAsia="Times New Roman" w:hAnsi="Arial" w:cs="Arial"/>
        </w:rPr>
      </w:pPr>
      <w:r>
        <w:rPr>
          <w:rFonts w:ascii="Arial" w:eastAsia="Times New Roman" w:hAnsi="Arial" w:cs="Arial"/>
        </w:rPr>
        <w:t>Track record</w:t>
      </w:r>
    </w:p>
    <w:p w14:paraId="55A24979" w14:textId="77777777" w:rsidR="00BF62FF" w:rsidRDefault="00BF62FF">
      <w:pPr>
        <w:pStyle w:val="NormalWeb"/>
        <w:rPr>
          <w:rFonts w:ascii="Arial" w:hAnsi="Arial" w:cs="Arial"/>
          <w:sz w:val="21"/>
          <w:szCs w:val="21"/>
        </w:rPr>
      </w:pPr>
      <w:r>
        <w:rPr>
          <w:rFonts w:ascii="Arial" w:hAnsi="Arial" w:cs="Arial"/>
          <w:b/>
          <w:bCs/>
          <w:sz w:val="21"/>
          <w:szCs w:val="21"/>
        </w:rPr>
        <w:t>Selected publications:</w:t>
      </w:r>
    </w:p>
    <w:p w14:paraId="4DE99ACC" w14:textId="77777777" w:rsidR="00BF62FF" w:rsidRDefault="00BF62FF">
      <w:pPr>
        <w:spacing w:after="60"/>
        <w:ind w:hanging="480"/>
        <w:divId w:val="1694847084"/>
        <w:rPr>
          <w:rFonts w:ascii="Arial" w:hAnsi="Arial" w:cs="Arial"/>
          <w:sz w:val="18"/>
          <w:szCs w:val="18"/>
        </w:rPr>
      </w:pPr>
      <w:r>
        <w:rPr>
          <w:rFonts w:ascii="Arial" w:hAnsi="Arial" w:cs="Arial"/>
          <w:sz w:val="18"/>
          <w:szCs w:val="18"/>
        </w:rPr>
        <w:t xml:space="preserve">P1. M. Buczek, [co-authors], W. C. Chueh, [working title: </w:t>
      </w:r>
      <w:r>
        <w:rPr>
          <w:rFonts w:ascii="Arial" w:hAnsi="Arial" w:cs="Arial"/>
          <w:sz w:val="18"/>
          <w:szCs w:val="18"/>
        </w:rPr>
        <w:t xml:space="preserve">A site-resolved covalency scale for noble-electrode YBa2Cu3O7-δ memristive devices</w:t>
      </w:r>
      <w:r>
        <w:rPr>
          <w:rFonts w:ascii="Arial" w:hAnsi="Arial" w:cs="Arial"/>
          <w:sz w:val="18"/>
          <w:szCs w:val="18"/>
        </w:rPr>
        <w:t xml:space="preserve">], manuscript in preparation (from the Feodor Lynen fellowship; insert status – in preparation / submitted / published – at submission time).</w:t>
      </w:r>
    </w:p>
    <w:p w14:paraId="15E456E8" w14:textId="77777777" w:rsidR="00BF62FF" w:rsidRDefault="00BF62FF">
      <w:pPr>
        <w:spacing w:after="60"/>
        <w:ind w:hanging="480"/>
        <w:divId w:val="1694847084"/>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73E6D11A" w14:textId="77777777" w:rsidR="00BF62FF" w:rsidRDefault="00BF62FF">
      <w:pPr>
        <w:spacing w:after="60"/>
        <w:ind w:hanging="480"/>
        <w:divId w:val="1694847084"/>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 – first-author comprehensive review of the field.</w:t>
      </w:r>
    </w:p>
    <w:p w14:paraId="78F0D5F1" w14:textId="77777777" w:rsidR="00BF62FF" w:rsidRDefault="00BF62FF">
      <w:pPr>
        <w:spacing w:after="60"/>
        <w:ind w:hanging="480"/>
        <w:divId w:val="1694847084"/>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4A4C765C" w14:textId="77777777" w:rsidR="00BF62FF" w:rsidRDefault="00BF62FF">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72659257" w14:textId="77777777" w:rsidR="00BF62FF" w:rsidRDefault="00BF62FF">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3DAC1B87" w14:textId="77777777" w:rsidR="00BF62FF" w:rsidRDefault="00BF62FF">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0EA8D0B4" w14:textId="77777777" w:rsidR="00BF62FF" w:rsidRDefault="00BF62FF">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7D5B47E1" w14:textId="77777777" w:rsidR="00BF62FF" w:rsidRDefault="00BF62FF">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31E16F50" w14:textId="77777777" w:rsidR="00BF62FF" w:rsidRDefault="00BF62FF">
      <w:pPr>
        <w:pStyle w:val="Heading1"/>
        <w:pageBreakBefore/>
        <w:rPr>
          <w:rFonts w:ascii="Arial" w:eastAsia="Times New Roman" w:hAnsi="Arial" w:cs="Arial"/>
        </w:rPr>
      </w:pPr>
      <w:r>
        <w:rPr>
          <w:rFonts w:ascii="Arial" w:eastAsia="Times New Roman" w:hAnsi="Arial" w:cs="Arial"/>
        </w:rPr>
        <w:t>Part B2 – The Project Implementation (max. 7 pages)</w:t>
      </w:r>
    </w:p>
    <w:p w14:paraId="30780B2F" w14:textId="77777777" w:rsidR="00BF62FF" w:rsidRDefault="00BF62FF">
      <w:pPr>
        <w:pStyle w:val="Heading2"/>
        <w:rPr>
          <w:rFonts w:ascii="Arial" w:eastAsia="Times New Roman" w:hAnsi="Arial" w:cs="Arial"/>
        </w:rPr>
      </w:pPr>
      <w:r>
        <w:rPr>
          <w:rFonts w:ascii="Arial" w:eastAsia="Times New Roman" w:hAnsi="Arial" w:cs="Arial"/>
        </w:rPr>
        <w:t>1  Work plan</w:t>
      </w:r>
    </w:p>
    <w:p w14:paraId="0851C99E" w14:textId="77777777" w:rsidR="00BF62FF" w:rsidRDefault="00BF62FF">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4362107A"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4B0671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E6F11FA"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6118800"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99B3C39"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5B19DA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1EF3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7EFD97"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D3778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9E331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59AB8C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23A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0AAB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698B3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0E2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0FB257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3B47F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44097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2D2D4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2E8BB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6EE503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1096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32B2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E36DF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FE468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244D3F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CE0B5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959E6A"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EAF68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FFEDA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429228B8" w14:textId="77777777" w:rsidR="00BF62FF" w:rsidRDefault="00BF62FF">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7C31017E" w14:textId="77777777" w:rsidR="00BF62FF" w:rsidRDefault="00BF62FF">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67D7A06D"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F133921"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F8398A8"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6842DA4"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22A7D0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326A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1D9F51"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75DC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7C60BA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8B88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ACA63"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53012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79F31D8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D4C9E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51F7AF"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9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2E5274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C0930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D4EBA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6222F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119728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2030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DE30B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00B1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6EFDAD4E" w14:textId="77777777" w:rsidR="00BF62FF" w:rsidRDefault="00BF62FF">
      <w:pPr>
        <w:pStyle w:val="Heading2"/>
        <w:rPr>
          <w:rFonts w:ascii="Arial" w:eastAsia="Times New Roman" w:hAnsi="Arial" w:cs="Arial"/>
        </w:rPr>
      </w:pPr>
      <w:r>
        <w:rPr>
          <w:rFonts w:ascii="Arial" w:eastAsia="Times New Roman" w:hAnsi="Arial" w:cs="Arial"/>
        </w:rPr>
        <w:t>3  Team and environment</w:t>
      </w:r>
    </w:p>
    <w:p w14:paraId="14EE71DD" w14:textId="77777777" w:rsidR="00BF62FF" w:rsidRDefault="00BF62FF">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1A92EDC0" w14:textId="77777777" w:rsidR="00BF62FF" w:rsidRDefault="00BF62FF">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6B6B95F6"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1B796A6"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B1B251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60B138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64E2B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59A8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7612785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C022E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083CD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30338E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9F8DF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15964B"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4A1132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DFEA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3B615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0FE2A9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BEA25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66D412"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6F6BE8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7B605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2C9C0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A51E4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B7FD4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7CD706"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20DD347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B9301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75BCEA"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44A9CF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31F8A4"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1C95C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2622AE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84790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24BA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664C65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8D06AB"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45A15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1BDBA4A5" w14:textId="77777777" w:rsidR="00BF62FF" w:rsidRDefault="00BF62FF">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5448218F" w14:textId="77777777" w:rsidR="00BF62FF" w:rsidRDefault="00BF62FF">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BF62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7BD6"/>
    <w:rsid w:val="007C7BD6"/>
    <w:rsid w:val="00BF62FF"/>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E2D17"/>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451038">
      <w:marLeft w:val="0"/>
      <w:marRight w:val="0"/>
      <w:marTop w:val="0"/>
      <w:marBottom w:val="0"/>
      <w:divBdr>
        <w:top w:val="none" w:sz="0" w:space="0" w:color="auto"/>
        <w:left w:val="none" w:sz="0" w:space="0" w:color="auto"/>
        <w:bottom w:val="none" w:sz="0" w:space="0" w:color="auto"/>
        <w:right w:val="none" w:sz="0" w:space="0" w:color="auto"/>
      </w:divBdr>
    </w:div>
    <w:div w:id="528252883">
      <w:marLeft w:val="0"/>
      <w:marRight w:val="0"/>
      <w:marTop w:val="0"/>
      <w:marBottom w:val="160"/>
      <w:divBdr>
        <w:top w:val="none" w:sz="0" w:space="0" w:color="auto"/>
        <w:left w:val="single" w:sz="24" w:space="8" w:color="003D7A"/>
        <w:bottom w:val="none" w:sz="0" w:space="0" w:color="auto"/>
        <w:right w:val="none" w:sz="0" w:space="0" w:color="auto"/>
      </w:divBdr>
    </w:div>
    <w:div w:id="791636256">
      <w:marLeft w:val="0"/>
      <w:marRight w:val="0"/>
      <w:marTop w:val="0"/>
      <w:marBottom w:val="160"/>
      <w:divBdr>
        <w:top w:val="none" w:sz="0" w:space="0" w:color="auto"/>
        <w:left w:val="single" w:sz="24" w:space="8" w:color="003D7A"/>
        <w:bottom w:val="none" w:sz="0" w:space="0" w:color="auto"/>
        <w:right w:val="none" w:sz="0" w:space="0" w:color="auto"/>
      </w:divBdr>
    </w:div>
    <w:div w:id="1643533669">
      <w:marLeft w:val="0"/>
      <w:marRight w:val="0"/>
      <w:marTop w:val="0"/>
      <w:marBottom w:val="160"/>
      <w:divBdr>
        <w:top w:val="none" w:sz="0" w:space="0" w:color="auto"/>
        <w:left w:val="single" w:sz="24" w:space="8" w:color="003D7A"/>
        <w:bottom w:val="none" w:sz="0" w:space="0" w:color="auto"/>
        <w:right w:val="none" w:sz="0" w:space="0" w:color="auto"/>
      </w:divBdr>
    </w:div>
    <w:div w:id="1694847084">
      <w:marLeft w:val="0"/>
      <w:marRight w:val="0"/>
      <w:marTop w:val="0"/>
      <w:marBottom w:val="0"/>
      <w:divBdr>
        <w:top w:val="none" w:sz="0" w:space="0" w:color="auto"/>
        <w:left w:val="none" w:sz="0" w:space="0" w:color="auto"/>
        <w:bottom w:val="none" w:sz="0" w:space="0" w:color="auto"/>
        <w:right w:val="none" w:sz="0" w:space="0" w:color="auto"/>
      </w:divBdr>
    </w:div>
    <w:div w:id="1861696277">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3291</Words>
  <Characters>20044</Characters>
  <Application>Microsoft Office Word</Application>
  <DocSecurity>4</DocSecurity>
  <Lines>345</Lines>
  <Paragraphs>145</Paragraphs>
  <ScaleCrop>false</ScaleCrop>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