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[22, 23]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[26]. (D2) At six to ten support points per series, cluster-model analysis of the transition-metal 2p core-level satellites and of the L2,3 multiplets yields the charge-transfer energy, the Coulomb energy and the transfer integrals, and hence w_L itself [23], evaluated with charge-transfer multiplet and Wannier-based multiplet ligand-field codes [40, 41].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[34],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8): validated sample series with complete descriptor set.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12): switching figures of merit as a function of x and δ with robust statistics on the established platform.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[40] E. Stavitski, F. M. F. de Groot, The CTM4XAS program for EELS and XAS spectral shape analysis of transition metal L edges. Micron 41, 687-694 (2010).</w:t>
      </w:r>
    </w:p>
    <w:p>
      <w:pPr>
        <w:spacing w:after="120"/>
      </w:pPr>
      <w:r>
        <w:rPr>
          <w:sz w:val="18"/>
          <w:szCs w:val="18"/>
        </w:rPr>
        <w:t xml:space="preserve">[41]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2026-08-10T22:56:21.923Z</dcterms:created>
  <dcterms:modified xsi:type="dcterms:W3CDTF">2026-08-10T22:56:21.923Z</dcterms:modified>
</cp:coreProperties>
</file>

<file path=docProps/custom.xml><?xml version="1.0" encoding="utf-8"?>
<Properties xmlns="http://schemas.openxmlformats.org/officeDocument/2006/custom-properties" xmlns:vt="http://schemas.openxmlformats.org/officeDocument/2006/docPropsVTypes"/>
</file>