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10.08.2026, Fokus-Revision 8 (Deskriptor-Konstruktion D1/D2/D3 ausgearbeitet und in alle 36 Anträge übernommen, s. Deskriptor_Konstruktion_2026-08-10.docx; Rev. 7: Gradient-Wafer-Plattform „one wafer, one map" als Methodik-Baustein ergänzt, s. eigener Abschnitt; Rev. 6: Cluster-Modell-Re-Screening durchgeführt). Claude-Code-generiert. Externes Fachfeedback (08/2026) umgesetzt: Beleglage-Formulierungen zur XAS-Quantifizierung entschärft, Kovalenzbegriff in allen Anträgen über die Cluster-Modell-Grundlagenliteratur der 80er/90er verankert (Fujimori, Bocquet, Saitoh, Sarma; sechs neue Grundlagenreferenzen je Antragsset, einzeln verifiziert), kritische Distanz zur Katalyseliteratur als expliziter Methodik-Baustein, Host-Wahl als Revisionspunkt markiert (s. u.).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eigenständige Vollanträge für DAAD PRIME, das DFG-Walter-Benjamin-Programm und die MSCA Postdoctoral Fellowship (Global), jeweils ohne Bezug auf die Feodor-Lynen-Förderung formuliert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 Konzeptioneller Rahmen (nach externem Fachfeedback, 08/2026): „Kovalenz“ ist quantitativ im Ladungstransfer-/Cluster-Modell-Sinn zu verstehen (Δ, U, Transferintegrale; Zaanen–Sawatzky–Allen 1985; Konfigurationswechselwirkungs-Analysen von Fujimori/Minami 1984, Bocquet 1992, Saitoh 1995, Nimkar/Sarma 1993). O-K-Preedge-Intensitäten gelten nur als relativer, serieninterner Hybridisierungsmaßstab (Grenzen: de Groot 1994); die in der Katalyseliteratur verbreitete Gleichsetzung von Hybridisierung und Kovalenz wird in allen Anträgen ausdrücklich vermieden.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 als relativer, serieninterner Hybridisierungsmaßstab nutzbar (Suntivich 2014; Grenzen: de Groot 1994, Frati 2020) – keine absolute Kovalenzskala; Verankerung über Cluster-Modell-Analysen (Bocquet/Saitoh/Fujimori) vorgesehen.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 als serieninterner Maßstab nutzbar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 als serieninterner Maßstab nutzbar.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Cluster-Modell-Parameterbasis (Achse 1a*, Re-Screening 09.08.2026)</w:t>
      </w:r>
    </w:p>
    <w:p>
      <w:pPr>
        <w:spacing w:after="100"/>
      </w:pPr>
      <w:r>
        <w:t xml:space="preserve">Auf Empfehlung des Fachfeedbacks wurde geprüft, für welche Systeme die CI-/Cluster-Modell-Parameter (Δ, U, Transferintegrale) publiziert sind (Details und Schlüsselquellen: ClusterModell_ReScreening_2026-08-09.docx). Verdikte: LSCO STARK (zwei unabhängige CI-Serienanalysen: Saitoh/Fujimori 1997, Chainani/Sarma 1992) · LSFO TEILWEISE–STARK (beide Endglieder quantitativ, inkl. negativem Δ für SrFeO3, HAXPES-bestätigt 2024; die Serie kreuzt das Vorzeichen von Δ) · YBCO TEILWEISE–STARK (Ebenen-Parameter kreuzvalidiert; δ-aufgelöste Extraktion offen, Nonlocal-Screening beachten) · GDC TEILWEISE (CeO2 kanonisch; Gd-/δ-Parametrik fehlt; 4f-Impurity-Rahmen) · STF und PCMO LÜCKE (keine CI-Extraktion publiziert – eigene Cluster-Analyse als expliziter Projektbaustein, Startparameter vorhanden). Die Befunde sind als „System-specific parameter status“ in die sechs Exposés übernommen (16 neue CI-Grundlagenreferenzen, einzeln verifiziert).</w:t>
      </w:r>
    </w:p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Gradient-Wafer-Plattform: „one wafer, one map" (10.08.2026)</w:t>
      </w:r>
    </w:p>
    <w:p>
      <w:pPr>
        <w:spacing w:after="100"/>
      </w:pPr>
      <w:r>
        <w:t xml:space="preserve">Konzept: Die Large-Area-PLD (an PGI-7 vorhanden, inkl. Slit-System – Buczek et al., Thin Solid Films 2024) wird im Continuous-Composition-Spread-Modus betrieben: ein einzelner Wafer trägt die vollständige Stöchiometrieserie eines Systems als kontinuierlichen lateralen Gradienten. Ortsaufgelöste weiche XAS (O-K-Vorkante, TM-L2,3) übersetzt den Wafer in eine kontinuierliche Kovalenz-Karte; automatisiertes Prober-Mapping von Device-Arrays entlang der Gradientenspur liefert die korrespondierende Schalt-Karte. Ein Wafer = eine vollständige Deskriptor-und-Schalt-Karte – Grundlage einer standardisierten, auf weitere Materialsysteme übertragbaren Quantifizierungs-Pipeline.</w:t>
      </w:r>
    </w:p>
    <w:p>
      <w:pPr>
        <w:spacing w:after="100"/>
      </w:pPr>
      <w:r>
        <w:t xml:space="preserve">Stand der Technik (verifiziert 10.08.2026): • CCS-PLD ist etabliert – Slit-synchronisiertes Scannen entkoppelt Kompositions- und Dickengradient (Christen et al., Rev. Sci. Instrum. 2001/2003, ORNL); kombinatorische LA-PLD-Hardware bis 4 Zoll publiziert (Lorenz et al., Rev. Sci. Instrum. 94, 083905 (2023), Leipzig); epitaktische La1-xSrxMnO3-Spreads als Perowskit-Präzedenzfall (Venimadhav et al. 2005). • Ortsaufgelöstes Soft-XAS-Mapping hat einen direkten Präzedenzfall: On-the-fly-XMCD an 66 Positionen eines kombinatorischen Fe-Co-Ni-Spreads mit 0,5-mm-Strahl (NanoTerasu BL14U, STAM: Methods 2025). ALBA BOREAS: Spot &lt; 200×200 µm², 2–3 min/Spektrum (≈ 50–100 Punkte pro 8-h-Schicht, TEY+FY); Diamond B07-B (VerSoX) ist als automatisierte High-Throughput-NEXAFS-Beamline mit Batch-Probenwechsel gebaut (J. Synchrotron Rad. 31, 2024) – stärkster Kandidat für den Routine-Arm. • Schalt-Screening an einem Gradientenfilm existiert als Präzedenzfall (Dicken-Gradient-SrTiO3 mit Device-Arrays, Adv. Funct. Mater. 2023). • Daten-Pipeline zitierfähig: autonome Bayessche Mess-Steuerung (gpCAM/Bluesky, NSLS-II 2021), interpretierbare ML-XAS-Deskriptoren (Torrisi et al., npj Comput. Mater. 6, 109 (2020)).</w:t>
      </w:r>
    </w:p>
    <w:p>
      <w:pPr>
        <w:spacing w:after="100"/>
      </w:pPr>
      <w:r>
        <w:t xml:space="preserve">Auflösungsabschätzung: Bei Δx = 1 über 50 mm mittelt ein 200-µm-Spot über Δx ≈ 0,004, ein 0,5-mm-Spot über Δx ≈ 0,01 – d. h. 100–250 unabhängige Stöchiometriepunkte pro Wafer. Limitierend ist die Kompositions-Kalibrierkarte (XRF/WDX), nicht der Strahl.</w:t>
      </w:r>
    </w:p>
    <w:p>
      <w:pPr>
        <w:spacing w:after="100"/>
      </w:pPr>
      <w:r>
        <w:t xml:space="preserve">Zweite Nutzung desselben Wafers – Gas-Titration als EV-Messung (10.08.2026): Der Gradientenwafer wird bei definiertem Sauerstoffpartialdruck und definierter Temperatur äquilibriert; die eingestellte Nichtstöchiometrie δ wird ortsaufgelöst über die Übergangsmetall-Valenz in derselben XAS-Messung ausgelesen. Wichtig und ehrlich zu benennen: XAS liefert Valenz, nicht absolutes δ – die Karte muss über Ankerpunkte kalibriert werden (chemische Kapazität, chemische Expansion aus HT-XRD, Referenzprobe bekannter Stöchiometrie); flankierend sind optische Absorption (vollflächig abbildbar) und Leitfähigkeitsrelaxation an Pad-Arrays einsetzbar. Aus δ(x; pO2, T) für oxidierende und reduzierende Bedingungen folgt die Reduktionsenthalpie ΔHred(x) – eine experimentelle Sauerstoffleerstellen-Bildungsenergie, gemessen an denselben Punkten wie der Kovalenz-Deskriptor, auf derselben Probe und aus demselben Wachstumslauf. Damit wird Achse 1b (EV vs. Kovalenz) von einer überwiegend rechnerisch belegten zu einer direkt gemessenen Korrelation. Zugleich ist die Antwort auf oxidierende/reduzierende Behandlung selbst die schaltrelevante Größe (Leichtigkeit der VO-Bildung), die Titration also kein Umweg, sondern die direkte Messung des gesuchten Zusammenhangs.</w:t>
      </w:r>
    </w:p>
    <w:p>
      <w:pPr>
        <w:spacing w:after="100"/>
      </w:pPr>
      <w:r>
        <w:t xml:space="preserve">Methodische Basis und Validierungsziel: Dünnschicht-Defektchemie dieses Typs ist etabliert – chemische Kapazität an Ceria-Filmen (Chueh &amp; Haile, PCCP 11, 8144 (2009)), Brouwer-/van-’t-Hoff-Auswertung an (La,Sr)FeO3-δ-Filmen (Schmid, Rupp, Fleig, PCCP 20, 12016 (2018)), simultane optische δ-Messung an Pr:Ceria (Kim, Bishop, Thompson, Tuller, Chem. Mater. 26, 1374 (2014)). Als Validierungsziel bietet sich die kompositionsabhängige Reduktionsenthalpie des STF-Mischkristalls an (Rothschild et al., Chem. Mater. 18, 3651 (2006): ΔHred(x) = 5,8 − 3,4x + 1,7x² eV) – reproduziert der Gradientenwafer diese Kurve, ist die Methode belegt, und erst danach trägt die ko-lokalisierte Deskriptor-Messung.</w:t>
      </w:r>
    </w:p>
    <w:p>
      <w:pPr>
        <w:spacing w:after="100"/>
      </w:pPr>
      <w:r>
        <w:t xml:space="preserve">Messtechnische Randbedingungen: Ambient-Pressure-NEXAFS-Endstationen erlauben Spektroskopie unter Gas – Diamond B07-B verbindet dies explizit mit High-Throughput-Betrieb (J. Synchrotron Rad. 31 (2024)), ALBA CIRCE-NAPP erreicht über Differenzialpumpstufen ca. 25 mbar am Ort der Probe. Total-Electron-Yield bricht oberhalb weniger mbar zusammen; Auger-Ausbeute über den Analysator trägt bis in den 10–25-mbar-Bereich, Fluoreszenzausbeute mit Fensterzelle bis ~1 bar, dort aber mit Selbstabsorptions-Korrektur an den TM-L-Kanten. Elektronen-/Auger-Ausbeute misst zudem nur die äußeren Nanometer – genau die Zone, in der unter hoher Temperatur und pO2 Oberflächenanreicherung auftreten kann; bulk-sensitive Fluoreszenzausbeute wird daher parallel aufgezeichnet. Fallback ist die Ex-situ-Route (Äquilibrieren, Abschrecken, Messen bei RT): belastbar für Titanate/STF mit eingefrorenem δ, kritisch für Kobaltite/SrCoOx, GDC und YBCO. Elektrochemische δ-Kontrolle setzt einen ionenleitenden Substratstapel (YSZ/GDC) voraus und ist damit eine bewusste Architekturentscheidung für eigene Kalibrierwafer, nicht der Standardfall der epitaktischen Gradientenserie. Vorteil der Gradientengeometrie: Der Kationengradient ist bei Titrationstemperaturen stabil (laterale Kationendiffusion über cm vernachlässigbar), während der Sauerstoffaustausch vertikal über die Oberfläche läuft – Titration und Gradient stören einander nicht. Zwingende Kontrolle: Dosisreihen gegen strahlinduzierte Photoreduktion (Ce, Co, Fe, Mn), denn dieser Artefakt zeigt in dieselbe Richtung wie das gesuchte Signal.</w:t>
      </w:r>
    </w:p>
    <w:p>
      <w:pPr>
        <w:spacing w:after="100"/>
      </w:pPr>
      <w:r>
        <w:t xml:space="preserve">Neuheitsanspruch: Die Kombination Perowskit-Kompositions-Spread + O-K-Vorkanten-Mapping + defektchemische Gas-Titration + automatisiertes memristives Schalt-Mapping ist nach dem Rechercheergebnis vom 10.08.2026 unpubliziert – sowohl kombinatorische O-K-Karten von Oxid-Spreads als auch Kompositions-Gradient-plus-Prober-Mapping an Perowskit-Memristoren fehlen in der Literatur.</w:t>
      </w:r>
    </w:p>
    <w:p>
      <w:pPr>
        <w:spacing w:after="100"/>
      </w:pPr>
      <w:r>
        <w:t xml:space="preserve">Systemzuordnung: Kationen-Gradient (etabliert) für STF (Fe-Gehalt; kontinuierlicher STF-Spread wäre selbst neu), PCMO (Ca), LSFO (Sr), LSCO (Sr) und GDC (Gd); YBCO ist δ-basiert – kein Kationen-Spread möglich, laterales δ-Grading nur als exploratives Arbeitspaket. Ein kontrollierter lateraler Sauerstoff-Gradient ist generell nicht publiziert; adaptierbare Bausteine: lateral gestufte Getter-Schicht (topotaktische Reduktion), Temperatur-Gradienten-Anneal, elektrochemisches Pumpen (IREC-Route).</w:t>
      </w:r>
    </w:p>
    <w:p>
      <w:pPr>
        <w:spacing w:after="100"/>
      </w:pPr>
      <w:r>
        <w:t xml:space="preserve">Risiken: (i) Konvolvierte Gradienten – x kovariiert mit Dicke, Verspannung und effektiver Fluenz; ohne Slit-synchronisierten Scan plus vollständige Metrologie-Karten (XRF/WDX, XRR, XRD-RSM) ist „Kovalenz vs. x" konfundiert; Kationen-Übertrag ist fluenz-/pO2-abhängig (Wicklein et al., APL 101, 131601 (2012) – hausinterne Expertise). (ii) δ-Gradient unbewiesen; δ kann unter Strahl/Bias nachäquilibrieren. (iii) Wafer-skalige Epitaxie-/Temperatur-Uniformität – ggf. nutzbare Gradientenspur auf einen zentralen Streifen beschränken. Praktischer Engpass beim XAS: UHV-Manipulatoren sind auf Flag-Halter (~10 mm Verfahrweg) ausgelegt – Großhalter mit Beamline-Staff klären oder Wafer in 10–15-mm-Chips entlang der Spur sägen. (iv) Strahlinduzierte Photoreduktion (Ce, Mn, Fe, Co) wirkt in dieselbe Richtung wie die gesuchte gasinduzierte Reduktion – ohne Dosisreihen ist die EV(x)-Kurve nicht interpretierbar. (v) Oberflächen- statt Volumeninformation: Elektronen-/Auger-Ausbeute erfasst 2–10 nm, wo unter Titrationsbedingungen Anreicherungs- und Rekonstruktionseffekte auftreten – parallele Fluoreszenzausbeute und dünne Schichten als Gegenmaßnahme.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Host-Wahl neu bewerten (externes Fachfeedback, 08/2026): Die Chueh-Gruppe selbst ist kaum noch Perowskit-aktiv; die einschlägigen Linien laufen in Alumni-Gruppen weiter – C. Baeumer (Univ. Twente), Q. Lu (Westlake Univ.), J. T. Mefford, D. Chen. Alternativ, falls XAS-Quantifizierung der methodische Kern ist: Host mit direktem Synchrotronzugang (z. B. PSI/SLS, MAX IV, Diamond). Danach die Host-Abschnitte aller Postdoc-Anträge neu schreiben (aktuell mit Revisionsvermerk markiert). • Cluster-Modell-Re-Screening durchgeführt (09.08.2026, s. Abschnitt 1a* und ClusterModell_ReScreening_2026-08-09.docx); Die daraus folgende Deskriptor-Konstruktion (dreistufig: normierte O-K-Vorkante → CI-Clustermodell-Verankerung → Kalibrierung) und sechs Wege zur Verknüpfung mit EV sind in Deskriptor_Konstruktion_2026-08-10.docx ausgearbeitet. Restpunkt: exakte Parametertabellen (Bocquet 1992, Saitoh 1995/1997, Wadati 2005, Shen 1987) am Volltext prüfen – Verlagszugänge aus dieser Umgebung gesperrt – und Analyse-Werkzeug (CTM4XAS/Quanty) für die eigenen Fits festlegen. • Verifikations-Flags: Asanuma-Rückelektrode (SrRuO3) aus Plattformkontext erschlossen; Choi-Al-Top aus Begleitpublikationen bestätigt – vor Einreichung am Volltext gegenprüfen. • EV ist im Literaturstand nur für STF experimentnah (Defektmodell), sonst DFT – in den Anträgen weiterhin sauber als rechnerisch kennzeichnen; die Gas-Titration auf dem Gradientenwafer (s. Abschnitt Gradient-Wafer-Plattform) ist der geplante Weg, EV für alle Systeme selbst zu messen, ersetzt den Literaturbefund aber erst nach eigener Validierung (Gleichgewicht, Quench-Treue, Dosistests); für LNO wäre die Interstitial-Energetik (1b) als eigenes Arbeitspaket auszuweisen. • Verteidigungsdatum, Patentdetails, Kooperationszusagen (Chueh, Synchrotron-, DFT-Partner), Wahl der Gastinstitution (RWTH vs. FZJ). • Seitenlimits prüfen: Die Lynen-Exposés (max. 5 Seiten) und die ERC-B1-Fassung (max. 5 Seiten) sind durch die Plattform-Absätze länger geworden – vor Einreichung kürzen bzw. Teile in den Anhang verschieben. • Gradient-Wafer-Plattform: Verfahrweg/Probenhalter der Ziel-Beamline klären (Flag-Halter vs. Wafer), Kalibrierpunkte für absolutes δ festlegen (chemische Kapazität, chemische Expansion) und Dosisprotokoll gegen Photoreduktion ausarbeiten.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2026-08-10T22:58:38.351Z</dcterms:created>
  <dcterms:modified xsi:type="dcterms:W3CDTF">2026-08-10T22:58:38.351Z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