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DED1" w14:textId="77777777" w:rsidR="00395E98" w:rsidRDefault="00395E98">
      <w:pPr>
        <w:pStyle w:val="NormalWeb"/>
        <w:jc w:val="right"/>
        <w:rPr>
          <w:rFonts w:ascii="Arial" w:hAnsi="Arial" w:cs="Arial"/>
          <w:color w:val="555555"/>
          <w:sz w:val="21"/>
          <w:szCs w:val="21"/>
        </w:rPr>
      </w:pPr>
      <w:r>
        <w:rPr>
          <w:rFonts w:ascii="Arial" w:hAnsi="Arial" w:cs="Arial"/>
          <w:color w:val="555555"/>
          <w:sz w:val="21"/>
          <w:szCs w:val="21"/>
        </w:rPr>
        <w:t>Alexander von Humboldt Foundation – Feodor Lynen Research Fellowship for Postdoctoral Researchers</w:t>
      </w:r>
    </w:p>
    <w:p w14:paraId="02A6D777" w14:textId="77777777" w:rsidR="00395E98" w:rsidRDefault="00395E98">
      <w:pPr>
        <w:pStyle w:val="NormalWeb"/>
        <w:rPr>
          <w:rFonts w:ascii="Arial" w:hAnsi="Arial" w:cs="Arial"/>
          <w:sz w:val="21"/>
          <w:szCs w:val="21"/>
        </w:rPr>
      </w:pPr>
      <w:r>
        <w:rPr>
          <w:rFonts w:ascii="Arial" w:hAnsi="Arial" w:cs="Arial"/>
          <w:sz w:val="21"/>
          <w:szCs w:val="21"/>
        </w:rPr>
        <w:t> </w:t>
      </w:r>
    </w:p>
    <w:p w14:paraId="55A4940C" w14:textId="77777777" w:rsidR="00395E98" w:rsidRDefault="00395E98">
      <w:pPr>
        <w:pStyle w:val="NormalWeb"/>
        <w:rPr>
          <w:rFonts w:ascii="Arial" w:hAnsi="Arial" w:cs="Arial"/>
          <w:sz w:val="21"/>
          <w:szCs w:val="21"/>
        </w:rPr>
      </w:pPr>
      <w:r>
        <w:rPr>
          <w:rFonts w:ascii="Arial" w:hAnsi="Arial" w:cs="Arial"/>
          <w:sz w:val="21"/>
          <w:szCs w:val="21"/>
        </w:rPr>
        <w:t> </w:t>
      </w:r>
    </w:p>
    <w:p w14:paraId="25D06376" w14:textId="77777777" w:rsidR="00395E98" w:rsidRDefault="00395E98">
      <w:pPr>
        <w:pStyle w:val="NormalWeb"/>
        <w:rPr>
          <w:rFonts w:ascii="Arial" w:hAnsi="Arial" w:cs="Arial"/>
          <w:sz w:val="21"/>
          <w:szCs w:val="21"/>
        </w:rPr>
      </w:pPr>
      <w:r>
        <w:rPr>
          <w:rFonts w:ascii="Arial" w:hAnsi="Arial" w:cs="Arial"/>
          <w:sz w:val="21"/>
          <w:szCs w:val="21"/>
        </w:rPr>
        <w:t> </w:t>
      </w:r>
    </w:p>
    <w:p w14:paraId="46845AD7" w14:textId="77777777" w:rsidR="00395E98" w:rsidRDefault="00395E98">
      <w:pPr>
        <w:pStyle w:val="center"/>
        <w:spacing w:before="0" w:beforeAutospacing="0" w:after="140"/>
        <w:rPr>
          <w:rFonts w:ascii="Arial" w:hAnsi="Arial" w:cs="Arial"/>
          <w:sz w:val="30"/>
          <w:szCs w:val="30"/>
        </w:rPr>
      </w:pPr>
      <w:r>
        <w:rPr>
          <w:rFonts w:ascii="Arial" w:hAnsi="Arial" w:cs="Arial"/>
          <w:b/>
          <w:bCs/>
          <w:sz w:val="30"/>
          <w:szCs w:val="30"/>
        </w:rPr>
        <w:t>Application for a Feodor Lynen Research Fellowship</w:t>
      </w:r>
    </w:p>
    <w:p w14:paraId="5E9DD40D" w14:textId="77777777" w:rsidR="00395E98" w:rsidRDefault="00395E98">
      <w:pPr>
        <w:pStyle w:val="NormalWeb"/>
        <w:rPr>
          <w:rFonts w:ascii="Arial" w:hAnsi="Arial" w:cs="Arial"/>
          <w:sz w:val="21"/>
          <w:szCs w:val="21"/>
        </w:rPr>
      </w:pPr>
      <w:r>
        <w:rPr>
          <w:rFonts w:ascii="Arial" w:hAnsi="Arial" w:cs="Arial"/>
          <w:sz w:val="21"/>
          <w:szCs w:val="21"/>
        </w:rPr>
        <w:t> </w:t>
      </w:r>
    </w:p>
    <w:p w14:paraId="67DCF0C7" w14:textId="77777777" w:rsidR="00395E98" w:rsidRDefault="00395E98">
      <w:pPr>
        <w:pStyle w:val="center"/>
        <w:spacing w:before="0" w:beforeAutospacing="0" w:after="140"/>
        <w:rPr>
          <w:rFonts w:ascii="Arial" w:hAnsi="Arial" w:cs="Arial"/>
          <w:sz w:val="26"/>
          <w:szCs w:val="26"/>
        </w:rPr>
      </w:pPr>
      <w:r>
        <w:rPr>
          <w:rFonts w:ascii="Arial" w:hAnsi="Arial" w:cs="Arial"/>
          <w:b/>
          <w:bCs/>
          <w:sz w:val="26"/>
          <w:szCs w:val="26"/>
        </w:rPr>
        <w:t>Covalency as an Experimental Descriptor of Intrinsic Memristive Switching: the SrTi</w:t>
      </w:r>
      <w:r>
        <w:rPr>
          <w:rFonts w:ascii="Arial" w:hAnsi="Arial" w:cs="Arial"/>
          <w:b/>
          <w:bCs/>
          <w:sz w:val="26"/>
          <w:szCs w:val="26"/>
          <w:vertAlign w:val="subscript"/>
        </w:rPr>
        <w:t>1-x</w:t>
      </w:r>
      <w:r>
        <w:rPr>
          <w:rFonts w:ascii="Arial" w:hAnsi="Arial" w:cs="Arial"/>
          <w:b/>
          <w:bCs/>
          <w:sz w:val="26"/>
          <w:szCs w:val="26"/>
        </w:rPr>
        <w:t>Fe</w:t>
      </w:r>
      <w:r>
        <w:rPr>
          <w:rFonts w:ascii="Arial" w:hAnsi="Arial" w:cs="Arial"/>
          <w:b/>
          <w:bCs/>
          <w:sz w:val="26"/>
          <w:szCs w:val="26"/>
          <w:vertAlign w:val="subscript"/>
        </w:rPr>
        <w:t>x</w:t>
      </w:r>
      <w:r>
        <w:rPr>
          <w:rFonts w:ascii="Arial" w:hAnsi="Arial" w:cs="Arial"/>
          <w:b/>
          <w:bCs/>
          <w:sz w:val="26"/>
          <w:szCs w:val="26"/>
        </w:rPr>
        <w:t>O</w:t>
      </w:r>
      <w:r>
        <w:rPr>
          <w:rFonts w:ascii="Arial" w:hAnsi="Arial" w:cs="Arial"/>
          <w:b/>
          <w:bCs/>
          <w:sz w:val="26"/>
          <w:szCs w:val="26"/>
          <w:vertAlign w:val="subscript"/>
        </w:rPr>
        <w:t>3-δ</w:t>
      </w:r>
      <w:r>
        <w:rPr>
          <w:rFonts w:ascii="Arial" w:hAnsi="Arial" w:cs="Arial"/>
          <w:b/>
          <w:bCs/>
          <w:sz w:val="26"/>
          <w:szCs w:val="26"/>
        </w:rPr>
        <w:t xml:space="preserve"> Model Series</w:t>
      </w:r>
    </w:p>
    <w:p w14:paraId="220DFE60" w14:textId="77777777" w:rsidR="00395E98" w:rsidRDefault="00395E98">
      <w:pPr>
        <w:pStyle w:val="NormalWeb"/>
        <w:rPr>
          <w:rFonts w:ascii="Arial" w:hAnsi="Arial" w:cs="Arial"/>
          <w:sz w:val="21"/>
          <w:szCs w:val="21"/>
        </w:rPr>
      </w:pPr>
      <w:r>
        <w:rPr>
          <w:rFonts w:ascii="Arial" w:hAnsi="Arial" w:cs="Arial"/>
          <w:sz w:val="21"/>
          <w:szCs w:val="21"/>
        </w:rPr>
        <w:t> </w:t>
      </w:r>
    </w:p>
    <w:p w14:paraId="0DE47AED" w14:textId="77777777" w:rsidR="00395E98" w:rsidRDefault="00395E98">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1B972C17"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4C859B" w14:textId="77777777" w:rsidR="00395E98" w:rsidRDefault="00395E98">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FAE44EE"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Dr. Max Buczek, Postdoctoral Researcher, Peter Grünberg Institute (PGI-7), Forschungszentrum Jülich, Germany</w:t>
            </w:r>
          </w:p>
        </w:tc>
      </w:tr>
      <w:tr w:rsidR="00000000" w14:paraId="6DFD6C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8328BA" w14:textId="77777777" w:rsidR="00395E98" w:rsidRDefault="00395E98">
            <w:pPr>
              <w:spacing w:before="120" w:after="200"/>
              <w:rPr>
                <w:rFonts w:ascii="Arial" w:eastAsia="Times New Roman" w:hAnsi="Arial" w:cs="Arial"/>
                <w:sz w:val="19"/>
                <w:szCs w:val="19"/>
              </w:rPr>
            </w:pPr>
            <w:r>
              <w:rPr>
                <w:rFonts w:ascii="Arial" w:eastAsia="Times New Roman" w:hAnsi="Arial" w:cs="Arial"/>
                <w:b/>
                <w:bCs/>
                <w:sz w:val="19"/>
                <w:szCs w:val="19"/>
              </w:rPr>
              <w:t>Host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BE2E26"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 xml:space="preserve">Prof. Dr. William C. Chueh, Department of Materials Science and Engineering, Stanford University, USA – Friedrich Wilhelm Bessel Research Award winner of the AvH Foundation (2021), member of the Humboldt Network</w:t>
            </w:r>
          </w:p>
        </w:tc>
      </w:tr>
      <w:tr w:rsidR="00000000" w14:paraId="676A085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271F7E" w14:textId="77777777" w:rsidR="00395E98" w:rsidRDefault="00395E98">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EFE67D"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Stanford University / SLAC National Accelerator Laboratory (Stanford Synchrotron Radiation Lightsource, SSRL)</w:t>
            </w:r>
          </w:p>
        </w:tc>
      </w:tr>
      <w:tr w:rsidR="00000000" w14:paraId="3485730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CF2E59" w14:textId="77777777" w:rsidR="00395E98" w:rsidRDefault="00395E98">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C31FB60"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24 months, starting [e.g. Q2/2027; fellowship must begin 2–12 months after the selection meeting]</w:t>
            </w:r>
          </w:p>
        </w:tc>
      </w:tr>
      <w:tr w:rsidR="00000000" w14:paraId="37FB021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9BD07A" w14:textId="77777777" w:rsidR="00395E98" w:rsidRDefault="00395E98">
            <w:pPr>
              <w:spacing w:before="120" w:after="200"/>
              <w:rPr>
                <w:rFonts w:ascii="Arial" w:eastAsia="Times New Roman" w:hAnsi="Arial" w:cs="Arial"/>
                <w:sz w:val="19"/>
                <w:szCs w:val="19"/>
              </w:rPr>
            </w:pPr>
            <w:r>
              <w:rPr>
                <w:rFonts w:ascii="Arial" w:eastAsia="Times New Roman" w:hAnsi="Arial" w:cs="Arial"/>
                <w:b/>
                <w:bCs/>
                <w:sz w:val="19"/>
                <w:szCs w:val="19"/>
              </w:rPr>
              <w:t>Programme 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A99C3D8"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Postdoctoral researchers (doctorate 2026, i.e. within the four-year window)</w:t>
            </w:r>
          </w:p>
        </w:tc>
      </w:tr>
      <w:tr w:rsidR="00000000" w14:paraId="1FB01C7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8D3222" w14:textId="77777777" w:rsidR="00395E98" w:rsidRDefault="00395E98">
            <w:pPr>
              <w:spacing w:before="120" w:after="200"/>
              <w:rPr>
                <w:rFonts w:ascii="Arial" w:eastAsia="Times New Roman" w:hAnsi="Arial" w:cs="Arial"/>
                <w:sz w:val="19"/>
                <w:szCs w:val="19"/>
              </w:rPr>
            </w:pPr>
            <w:r>
              <w:rPr>
                <w:rFonts w:ascii="Arial" w:eastAsia="Times New Roman" w:hAnsi="Arial" w:cs="Arial"/>
                <w:b/>
                <w:bCs/>
                <w:sz w:val="19"/>
                <w:szCs w:val="19"/>
              </w:rPr>
              <w:t>Targeted selection round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C91825"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[February/June/October; submission recommended 4–7 months in advance]</w:t>
            </w:r>
          </w:p>
        </w:tc>
      </w:tr>
    </w:tbl>
    <w:p w14:paraId="42408640" w14:textId="77777777" w:rsidR="00395E98" w:rsidRDefault="00395E98">
      <w:pPr>
        <w:pStyle w:val="NormalWeb"/>
        <w:rPr>
          <w:rFonts w:ascii="Arial" w:hAnsi="Arial" w:cs="Arial"/>
          <w:sz w:val="21"/>
          <w:szCs w:val="21"/>
        </w:rPr>
      </w:pPr>
      <w:r>
        <w:rPr>
          <w:rFonts w:ascii="Arial" w:hAnsi="Arial" w:cs="Arial"/>
          <w:sz w:val="21"/>
          <w:szCs w:val="21"/>
        </w:rPr>
        <w:t> </w:t>
      </w:r>
    </w:p>
    <w:p w14:paraId="406B259C" w14:textId="77777777" w:rsidR="00395E98" w:rsidRDefault="00395E98">
      <w:pPr>
        <w:pStyle w:val="muted"/>
        <w:spacing w:before="0" w:beforeAutospacing="0" w:after="140"/>
        <w:rPr>
          <w:rFonts w:ascii="Arial" w:hAnsi="Arial" w:cs="Arial"/>
        </w:rPr>
      </w:pPr>
      <w:r>
        <w:rPr>
          <w:rFonts w:ascii="Arial" w:hAnsi="Arial" w:cs="Arial"/>
        </w:rPr>
        <w:t>Note: This document contains the research proposal (exposé, max. 5 pages according to AvH requirements) and a checklist of the further application documents. The project is the 24-month nucleus, tailored to a research stay abroad, of the applicant’s longer-term research programme (Emmy Noether/ERC perspective after returning to Germany); per AvH requirements, the exposé must be coordinated with the host before submission.</w:t>
      </w:r>
    </w:p>
    <w:p w14:paraId="698E9BC6" w14:textId="77777777" w:rsidR="00395E98" w:rsidRDefault="00395E98">
      <w:pPr>
        <w:pStyle w:val="Heading1"/>
        <w:pageBreakBefore/>
        <w:rPr>
          <w:rFonts w:ascii="Arial" w:eastAsia="Times New Roman" w:hAnsi="Arial" w:cs="Arial"/>
        </w:rPr>
      </w:pPr>
      <w:r>
        <w:rPr>
          <w:rFonts w:ascii="Arial" w:eastAsia="Times New Roman" w:hAnsi="Arial" w:cs="Arial"/>
        </w:rPr>
        <w:lastRenderedPageBreak/>
        <w:t>Research Proposal (Exposé)</w:t>
      </w:r>
    </w:p>
    <w:p w14:paraId="1EFAED6C" w14:textId="77777777" w:rsidR="00395E98" w:rsidRDefault="00395E98">
      <w:pPr>
        <w:pStyle w:val="Heading2"/>
        <w:rPr>
          <w:rFonts w:ascii="Arial" w:eastAsia="Times New Roman" w:hAnsi="Arial" w:cs="Arial"/>
        </w:rPr>
      </w:pPr>
      <w:r>
        <w:rPr>
          <w:rFonts w:ascii="Arial" w:eastAsia="Times New Roman" w:hAnsi="Arial" w:cs="Arial"/>
        </w:rPr>
        <w:t>1  Research question and scientific significance</w:t>
      </w:r>
    </w:p>
    <w:p w14:paraId="1B7310B1" w14:textId="77777777" w:rsidR="00395E98" w:rsidRDefault="00395E98">
      <w:pPr>
        <w:pStyle w:val="NormalWeb"/>
        <w:rPr>
          <w:rFonts w:ascii="Arial" w:hAnsi="Arial" w:cs="Arial"/>
          <w:sz w:val="21"/>
          <w:szCs w:val="21"/>
        </w:rPr>
      </w:pPr>
      <w:r>
        <w:rPr>
          <w:rFonts w:ascii="Arial" w:hAnsi="Arial" w:cs="Arial"/>
          <w:sz w:val="21"/>
          <w:szCs w:val="21"/>
        </w:rPr>
        <w:t>Memristive devices based on the valence change mechanism (VCM) switch their resistance through field-driven creation and migration of oxygen vacancies (V</w:t>
      </w:r>
      <w:r>
        <w:rPr>
          <w:rFonts w:ascii="Arial" w:hAnsi="Arial" w:cs="Arial"/>
          <w:sz w:val="21"/>
          <w:szCs w:val="21"/>
          <w:vertAlign w:val="subscript"/>
        </w:rPr>
        <w:t>O</w:t>
      </w:r>
      <w:r>
        <w:rPr>
          <w:rFonts w:ascii="Arial" w:hAnsi="Arial" w:cs="Arial"/>
          <w:sz w:val="21"/>
          <w:szCs w:val="21"/>
        </w:rPr>
        <w:t>) [1–3]. The oxygen-vacancy formation energy (E</w:t>
      </w:r>
      <w:r>
        <w:rPr>
          <w:rFonts w:ascii="Arial" w:hAnsi="Arial" w:cs="Arial"/>
          <w:sz w:val="21"/>
          <w:szCs w:val="21"/>
          <w:vertAlign w:val="subscript"/>
        </w:rPr>
        <w:t>V</w:t>
      </w:r>
      <w:r>
        <w:rPr>
          <w:rFonts w:ascii="Arial" w:hAnsi="Arial" w:cs="Arial"/>
          <w:sz w:val="21"/>
          <w:szCs w:val="21"/>
        </w:rPr>
        <w:t>) enters all quantitative switching models exponentially [3, 4] – and yet it has never been measured systematically how E</w:t>
      </w:r>
      <w:r>
        <w:rPr>
          <w:rFonts w:ascii="Arial" w:hAnsi="Arial" w:cs="Arial"/>
          <w:sz w:val="21"/>
          <w:szCs w:val="21"/>
          <w:vertAlign w:val="subscript"/>
        </w:rPr>
        <w:t>V</w:t>
      </w:r>
      <w:r>
        <w:rPr>
          <w:rFonts w:ascii="Arial" w:hAnsi="Arial" w:cs="Arial"/>
          <w:sz w:val="21"/>
          <w:szCs w:val="21"/>
        </w:rPr>
        <w:t xml:space="preserve"> determines the central figures of merit (ON/OFF ratio, forming voltage, retention). Energy research, by contrast, has quantitatively established that E</w:t>
      </w:r>
      <w:r>
        <w:rPr>
          <w:rFonts w:ascii="Arial" w:hAnsi="Arial" w:cs="Arial"/>
          <w:sz w:val="21"/>
          <w:szCs w:val="21"/>
          <w:vertAlign w:val="subscript"/>
        </w:rPr>
        <w:t>V</w:t>
      </w:r>
      <w:r>
        <w:rPr>
          <w:rFonts w:ascii="Arial" w:hAnsi="Arial" w:cs="Arial"/>
          <w:sz w:val="21"/>
          <w:szCs w:val="21"/>
        </w:rPr>
        <w:t xml:space="preserve"> in perovskites is controlled by the metal–oxygen covalency: the O-2p band centre scales linearly with E</w:t>
      </w:r>
      <w:r>
        <w:rPr>
          <w:rFonts w:ascii="Arial" w:hAnsi="Arial" w:cs="Arial"/>
          <w:sz w:val="21"/>
          <w:szCs w:val="21"/>
          <w:vertAlign w:val="subscript"/>
        </w:rPr>
        <w:t>V</w:t>
      </w:r>
      <w:r>
        <w:rPr>
          <w:rFonts w:ascii="Arial" w:hAnsi="Arial" w:cs="Arial"/>
          <w:sz w:val="21"/>
          <w:szCs w:val="21"/>
        </w:rPr>
        <w:t xml:space="preserve"> and serves as a descriptor for catalysis and oxygen transport [5–8]. My project connects these two worlds experimentally for the first time – using the model system SrTi</w:t>
      </w:r>
      <w:r>
        <w:rPr>
          <w:rFonts w:ascii="Arial" w:hAnsi="Arial" w:cs="Arial"/>
          <w:sz w:val="21"/>
          <w:szCs w:val="21"/>
          <w:vertAlign w:val="subscript"/>
        </w:rPr>
        <w:t>1-x</w:t>
      </w:r>
      <w:r>
        <w:rPr>
          <w:rFonts w:ascii="Arial" w:hAnsi="Arial" w:cs="Arial"/>
          <w:sz w:val="21"/>
          <w:szCs w:val="21"/>
        </w:rPr>
        <w:t>Fe</w:t>
      </w:r>
      <w:r>
        <w:rPr>
          <w:rFonts w:ascii="Arial" w:hAnsi="Arial" w:cs="Arial"/>
          <w:sz w:val="21"/>
          <w:szCs w:val="21"/>
          <w:vertAlign w:val="subscript"/>
        </w:rPr>
        <w:t>x</w:t>
      </w:r>
      <w:r>
        <w:rPr>
          <w:rFonts w:ascii="Arial" w:hAnsi="Arial" w:cs="Arial"/>
          <w:sz w:val="21"/>
          <w:szCs w:val="21"/>
        </w:rPr>
        <w:t>O</w:t>
      </w:r>
      <w:r>
        <w:rPr>
          <w:rFonts w:ascii="Arial" w:hAnsi="Arial" w:cs="Arial"/>
          <w:sz w:val="21"/>
          <w:szCs w:val="21"/>
          <w:vertAlign w:val="subscript"/>
        </w:rPr>
        <w:t>3-δ</w:t>
      </w:r>
      <w:r>
        <w:rPr>
          <w:rFonts w:ascii="Arial" w:hAnsi="Arial" w:cs="Arial"/>
          <w:sz w:val="21"/>
          <w:szCs w:val="21"/>
        </w:rPr>
        <w:t xml:space="preserve"> (STF), the one perovskite series in which intrinsic switching, an inert/graphene electrode platform and a quantitatively mapped defect chemistry already coexist. A decisive design requirement drives this choice: in many perovskite memristors – including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the system of my own doctorate – robust switching requires a </w:t>
      </w:r>
      <w:r>
        <w:rPr>
          <w:rFonts w:ascii="Arial" w:hAnsi="Arial" w:cs="Arial"/>
          <w:i/>
          <w:iCs/>
          <w:sz w:val="21"/>
          <w:szCs w:val="21"/>
        </w:rPr>
        <w:t>reactive</w:t>
      </w:r>
      <w:r>
        <w:rPr>
          <w:rFonts w:ascii="Arial" w:hAnsi="Arial" w:cs="Arial"/>
          <w:sz w:val="21"/>
          <w:szCs w:val="21"/>
        </w:rPr>
        <w:t xml:space="preserve"> metal electrode, and the oxygen exchange with the resulting second oxide (TiO</w:t>
      </w:r>
      <w:r>
        <w:rPr>
          <w:rFonts w:ascii="Arial" w:hAnsi="Arial" w:cs="Arial"/>
          <w:sz w:val="21"/>
          <w:szCs w:val="21"/>
          <w:vertAlign w:val="subscript"/>
        </w:rPr>
        <w:t>x</w:t>
      </w:r>
      <w:r>
        <w:rPr>
          <w:rFonts w:ascii="Arial" w:hAnsi="Arial" w:cs="Arial"/>
          <w:sz w:val="21"/>
          <w:szCs w:val="21"/>
        </w:rPr>
        <w:t>, AlO</w:t>
      </w:r>
      <w:r>
        <w:rPr>
          <w:rFonts w:ascii="Arial" w:hAnsi="Arial" w:cs="Arial"/>
          <w:sz w:val="21"/>
          <w:szCs w:val="21"/>
          <w:vertAlign w:val="subscript"/>
        </w:rPr>
        <w:t>x</w:t>
      </w:r>
      <w:r>
        <w:rPr>
          <w:rFonts w:ascii="Arial" w:hAnsi="Arial" w:cs="Arial"/>
          <w:sz w:val="21"/>
          <w:szCs w:val="21"/>
        </w:rPr>
        <w:t xml:space="preserve">) then dominates the mechanism [23, 24]. A clean covalency study must instead use a system whose oxygen balance stays </w:t>
      </w:r>
      <w:r>
        <w:rPr>
          <w:rFonts w:ascii="Arial" w:hAnsi="Arial" w:cs="Arial"/>
          <w:i/>
          <w:iCs/>
          <w:sz w:val="21"/>
          <w:szCs w:val="21"/>
        </w:rPr>
        <w:t>inside</w:t>
      </w:r>
      <w:r>
        <w:rPr>
          <w:rFonts w:ascii="Arial" w:hAnsi="Arial" w:cs="Arial"/>
          <w:sz w:val="21"/>
          <w:szCs w:val="21"/>
        </w:rPr>
        <w:t xml:space="preserve"> the oxide.</w:t>
      </w:r>
    </w:p>
    <w:p w14:paraId="28542294" w14:textId="77777777" w:rsidR="00395E98" w:rsidRDefault="00395E98">
      <w:pPr>
        <w:pStyle w:val="NormalWeb"/>
        <w:rPr>
          <w:rFonts w:ascii="Arial" w:hAnsi="Arial" w:cs="Arial"/>
          <w:sz w:val="21"/>
          <w:szCs w:val="21"/>
        </w:rPr>
      </w:pPr>
      <w:r>
        <w:rPr>
          <w:rFonts w:ascii="Arial" w:hAnsi="Arial" w:cs="Arial"/>
          <w:sz w:val="21"/>
          <w:szCs w:val="21"/>
        </w:rPr>
        <w:t xml:space="preserve">STF is the ideal test system for a </w:t>
      </w:r>
      <w:r>
        <w:rPr>
          <w:rFonts w:ascii="Arial" w:hAnsi="Arial" w:cs="Arial"/>
          <w:i/>
          <w:iCs/>
          <w:sz w:val="21"/>
          <w:szCs w:val="21"/>
        </w:rPr>
        <w:t>clean</w:t>
      </w:r>
      <w:r>
        <w:rPr>
          <w:rFonts w:ascii="Arial" w:hAnsi="Arial" w:cs="Arial"/>
          <w:sz w:val="21"/>
          <w:szCs w:val="21"/>
        </w:rPr>
        <w:t xml:space="preserve"> covalency study, for three reasons. </w:t>
      </w:r>
      <w:r>
        <w:rPr>
          <w:rFonts w:ascii="Arial" w:hAnsi="Arial" w:cs="Arial"/>
          <w:b/>
          <w:bCs/>
          <w:sz w:val="21"/>
          <w:szCs w:val="21"/>
        </w:rPr>
        <w:t>(i) The covalency/reducibility axis is quantitatively mapped:</w:t>
      </w:r>
      <w:r>
        <w:rPr>
          <w:rFonts w:ascii="Arial" w:hAnsi="Arial" w:cs="Arial"/>
          <w:sz w:val="21"/>
          <w:szCs w:val="21"/>
        </w:rPr>
        <w:t xml:space="preserve"> STF forms a continuous cubic solid solution between SrTiO</w:t>
      </w:r>
      <w:r>
        <w:rPr>
          <w:rFonts w:ascii="Arial" w:hAnsi="Arial" w:cs="Arial"/>
          <w:sz w:val="21"/>
          <w:szCs w:val="21"/>
          <w:vertAlign w:val="subscript"/>
        </w:rPr>
        <w:t>3</w:t>
      </w:r>
      <w:r>
        <w:rPr>
          <w:rFonts w:ascii="Arial" w:hAnsi="Arial" w:cs="Arial"/>
          <w:sz w:val="21"/>
          <w:szCs w:val="21"/>
        </w:rPr>
        <w:t xml:space="preserve"> and SrFeO</w:t>
      </w:r>
      <w:r>
        <w:rPr>
          <w:rFonts w:ascii="Arial" w:hAnsi="Arial" w:cs="Arial"/>
          <w:sz w:val="21"/>
          <w:szCs w:val="21"/>
          <w:vertAlign w:val="subscript"/>
        </w:rPr>
        <w:t>3-δ</w:t>
      </w:r>
      <w:r>
        <w:rPr>
          <w:rFonts w:ascii="Arial" w:hAnsi="Arial" w:cs="Arial"/>
          <w:sz w:val="21"/>
          <w:szCs w:val="21"/>
        </w:rPr>
        <w:t>, and its defect chemistry is known in closed form – band gap E</w:t>
      </w:r>
      <w:r>
        <w:rPr>
          <w:rFonts w:ascii="Arial" w:hAnsi="Arial" w:cs="Arial"/>
          <w:sz w:val="21"/>
          <w:szCs w:val="21"/>
          <w:vertAlign w:val="subscript"/>
        </w:rPr>
        <w:t>g</w:t>
      </w:r>
      <w:r>
        <w:rPr>
          <w:rFonts w:ascii="Arial" w:hAnsi="Arial" w:cs="Arial"/>
          <w:sz w:val="21"/>
          <w:szCs w:val="21"/>
        </w:rPr>
        <w:t>(x) = 3.2 − 1.9x + 0.5x² eV and reduction enthalpy ΔH</w:t>
      </w:r>
      <w:r>
        <w:rPr>
          <w:rFonts w:ascii="Arial" w:hAnsi="Arial" w:cs="Arial"/>
          <w:sz w:val="21"/>
          <w:szCs w:val="21"/>
          <w:vertAlign w:val="subscript"/>
        </w:rPr>
        <w:t>red</w:t>
      </w:r>
      <w:r>
        <w:rPr>
          <w:rFonts w:ascii="Arial" w:hAnsi="Arial" w:cs="Arial"/>
          <w:sz w:val="21"/>
          <w:szCs w:val="21"/>
        </w:rPr>
        <w:t xml:space="preserve">(x) = 5.8 − 3.4x + 1.7x² eV [9]; the Fe–O hybridisation across the series is documented by X-ray absorption [10–12]. The Fe content thus tunes the ease of oxygen-vacancy formation continuously within one perovskite host – the descriptor axis of this project, with literature values to test against. </w:t>
      </w:r>
      <w:r>
        <w:rPr>
          <w:rFonts w:ascii="Arial" w:hAnsi="Arial" w:cs="Arial"/>
          <w:b/>
          <w:bCs/>
          <w:sz w:val="21"/>
          <w:szCs w:val="21"/>
        </w:rPr>
        <w:t>(ii) The switching axis is intrinsic – no reactive electrode required:</w:t>
      </w:r>
      <w:r>
        <w:rPr>
          <w:rFonts w:ascii="Arial" w:hAnsi="Arial" w:cs="Arial"/>
          <w:sz w:val="21"/>
          <w:szCs w:val="21"/>
        </w:rPr>
        <w:t xml:space="preserve"> Fe-doped SrTiO</w:t>
      </w:r>
      <w:r>
        <w:rPr>
          <w:rFonts w:ascii="Arial" w:hAnsi="Arial" w:cs="Arial"/>
          <w:sz w:val="21"/>
          <w:szCs w:val="21"/>
          <w:vertAlign w:val="subscript"/>
        </w:rPr>
        <w:t>3</w:t>
      </w:r>
      <w:r>
        <w:rPr>
          <w:rFonts w:ascii="Arial" w:hAnsi="Arial" w:cs="Arial"/>
          <w:sz w:val="21"/>
          <w:szCs w:val="21"/>
        </w:rPr>
        <w:t xml:space="preserve"> devices with inert electrodes switch via oxygen-vacancy modulation of the Schottky barrier (“eightwise”) as well as via intrinsic filaments [13, 14, 30]; Cr-doped SrTiO</w:t>
      </w:r>
      <w:r>
        <w:rPr>
          <w:rFonts w:ascii="Arial" w:hAnsi="Arial" w:cs="Arial"/>
          <w:sz w:val="21"/>
          <w:szCs w:val="21"/>
          <w:vertAlign w:val="subscript"/>
        </w:rPr>
        <w:t>3</w:t>
      </w:r>
      <w:r>
        <w:rPr>
          <w:rFonts w:ascii="Arial" w:hAnsi="Arial" w:cs="Arial"/>
          <w:sz w:val="21"/>
          <w:szCs w:val="21"/>
        </w:rPr>
        <w:t xml:space="preserve"> switches with inert electrodes with operando-XAS-proven vacancy drift [15]; and spectromicroscopy has traced the mechanism to oxygen migration and Ti valence changes within the oxide itself [16]. Crucially, the photoelectron-transparent </w:t>
      </w:r>
      <w:r>
        <w:rPr>
          <w:rFonts w:ascii="Arial" w:hAnsi="Arial" w:cs="Arial"/>
          <w:i/>
          <w:iCs/>
          <w:sz w:val="21"/>
          <w:szCs w:val="21"/>
        </w:rPr>
        <w:t>graphene top-electrode platform has been demonstrated on exactly this materials system</w:t>
      </w:r>
      <w:r>
        <w:rPr>
          <w:rFonts w:ascii="Arial" w:hAnsi="Arial" w:cs="Arial"/>
          <w:sz w:val="21"/>
          <w:szCs w:val="21"/>
        </w:rPr>
        <w:t xml:space="preserve"> [17, 18]. Graphene is not merely convenient here but scientifically necessary: </w:t>
      </w:r>
      <w:r>
        <w:rPr>
          <w:rFonts w:ascii="Arial" w:hAnsi="Arial" w:cs="Arial"/>
          <w:sz w:val="21"/>
          <w:szCs w:val="21"/>
          <w:vertAlign w:val="superscript"/>
        </w:rPr>
        <w:t>18</w:t>
      </w:r>
      <w:r>
        <w:rPr>
          <w:rFonts w:ascii="Arial" w:hAnsi="Arial" w:cs="Arial"/>
          <w:sz w:val="21"/>
          <w:szCs w:val="21"/>
        </w:rPr>
        <w:t xml:space="preserve">O-tracer and humidity studies show that under permeable electrodes, eightwise switching exchanges oxygen with ambient water [19, 20] – only a gas-tight (graphene-sealed) electrode makes the oxygen balance truly internal and the covalency–switching correlation unambiguous. </w:t>
      </w:r>
      <w:r>
        <w:rPr>
          <w:rFonts w:ascii="Arial" w:hAnsi="Arial" w:cs="Arial"/>
          <w:b/>
          <w:bCs/>
          <w:sz w:val="21"/>
          <w:szCs w:val="21"/>
        </w:rPr>
        <w:t>(iii) The mechanism is stable across the series:</w:t>
      </w:r>
      <w:r>
        <w:rPr>
          <w:rFonts w:ascii="Arial" w:hAnsi="Arial" w:cs="Arial"/>
          <w:sz w:val="21"/>
          <w:szCs w:val="21"/>
        </w:rPr>
        <w:t xml:space="preserve"> for x ≤ 0.3, STF remains a cubic, p-type semiconducting perovskite – no topotactic brownmillerite transition and no metal–insulator transition interferes [9], in deliberate contrast to the manganite, ferrite and cobaltite families. </w:t>
      </w:r>
      <w:r>
        <w:rPr>
          <w:rFonts w:ascii="Arial" w:hAnsi="Arial" w:cs="Arial"/>
          <w:b/>
          <w:bCs/>
          <w:sz w:val="21"/>
          <w:szCs w:val="21"/>
        </w:rPr>
        <w:t>The gap:</w:t>
      </w:r>
      <w:r>
        <w:rPr>
          <w:rFonts w:ascii="Arial" w:hAnsi="Arial" w:cs="Arial"/>
          <w:sz w:val="21"/>
          <w:szCs w:val="21"/>
        </w:rPr>
        <w:t xml:space="preserve"> a systematic Fe-content series in epitaxial devices under inert/graphene electrodes does not exist – published composition series were measured either with reactive electrodes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[23], where the electrode oxide dominates the mechanism [24]) or on polycrystalline films in a narrow composition window [22, 31]. My central hypothesis: the switching figures of merit of intrinsic STF devices scale with the covalency/reduction-enthalpy descriptor, with an optimum of the usable window at intermediate x – and the descriptor is </w:t>
      </w:r>
      <w:r>
        <w:rPr>
          <w:rFonts w:ascii="Arial" w:hAnsi="Arial" w:cs="Arial"/>
          <w:i/>
          <w:iCs/>
          <w:sz w:val="21"/>
          <w:szCs w:val="21"/>
        </w:rPr>
        <w:t>measured</w:t>
      </w:r>
      <w:r>
        <w:rPr>
          <w:rFonts w:ascii="Arial" w:hAnsi="Arial" w:cs="Arial"/>
          <w:sz w:val="21"/>
          <w:szCs w:val="21"/>
        </w:rPr>
        <w:t>, not merely computed [11].</w:t>
      </w:r>
    </w:p>
    <w:p w14:paraId="3EBF5E29" w14:textId="77777777" w:rsidR="00395E98" w:rsidRDefault="00395E98">
      <w:pPr>
        <w:pStyle w:val="Heading2"/>
        <w:rPr>
          <w:rFonts w:ascii="Arial" w:eastAsia="Times New Roman" w:hAnsi="Arial" w:cs="Arial"/>
        </w:rPr>
      </w:pPr>
      <w:r>
        <w:rPr>
          <w:rFonts w:ascii="Arial" w:eastAsia="Times New Roman" w:hAnsi="Arial" w:cs="Arial"/>
        </w:rPr>
        <w:t>2  Why the Chueh group at Stanford is the ideal place</w:t>
      </w:r>
    </w:p>
    <w:p w14:paraId="4E8C0EEE" w14:textId="77777777" w:rsidR="00395E98" w:rsidRDefault="00395E98">
      <w:pPr>
        <w:pStyle w:val="NormalWeb"/>
        <w:rPr>
          <w:rFonts w:ascii="Arial" w:hAnsi="Arial" w:cs="Arial"/>
          <w:sz w:val="21"/>
          <w:szCs w:val="21"/>
        </w:rPr>
      </w:pPr>
      <w:r>
        <w:rPr>
          <w:rFonts w:ascii="Arial" w:hAnsi="Arial" w:cs="Arial"/>
          <w:sz w:val="21"/>
          <w:szCs w:val="21"/>
        </w:rPr>
        <w:t>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[25–27] – STF itself is a canonical solid-oxide-fuel-cell and oxygen-permeation material, so its defect thermodynamics [9] lie squarely in the group’s home territory. The group’s seminal work on the redox activity of oxygen anions in oxygen-deficient perovskites [26] is a direct methodological blueprint for my project; the Nature Materials study on atomically defined LaNiO</w:t>
      </w:r>
      <w:r>
        <w:rPr>
          <w:rFonts w:ascii="Arial" w:hAnsi="Arial" w:cs="Arial"/>
          <w:sz w:val="21"/>
          <w:szCs w:val="21"/>
          <w:vertAlign w:val="subscript"/>
        </w:rPr>
        <w:t>3</w:t>
      </w:r>
      <w:r>
        <w:rPr>
          <w:rFonts w:ascii="Arial" w:hAnsi="Arial" w:cs="Arial"/>
          <w:sz w:val="21"/>
          <w:szCs w:val="21"/>
        </w:rPr>
        <w:t xml:space="preserve"> surfaces [27] – with Christoph Baeumer from the Jülich school as first author – 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 the very school that established both the Fe:SrTiO</w:t>
      </w:r>
      <w:r>
        <w:rPr>
          <w:rFonts w:ascii="Arial" w:hAnsi="Arial" w:cs="Arial"/>
          <w:sz w:val="21"/>
          <w:szCs w:val="21"/>
          <w:vertAlign w:val="subscript"/>
        </w:rPr>
        <w:t>3</w:t>
      </w:r>
      <w:r>
        <w:rPr>
          <w:rFonts w:ascii="Arial" w:hAnsi="Arial" w:cs="Arial"/>
          <w:sz w:val="21"/>
          <w:szCs w:val="21"/>
        </w:rPr>
        <w:t xml:space="preserve"> switching platform and the graphene-electrode spectroscopy concept [13, 16–18], whose processing and metrology I know first-hand. This two-sided fit is the strongest possible de-risking for a 24-month project: the device platform is proven Jülich methodology, the defect-chemistry and XAS side is proven Stanford methodology, and the fellowship time is spent on their genuinely new combination. The constellation is thus a genuine two-way transfer of knowledge. For complementary epitaxial growth questions, the environment of the Stanford Institute for Materials and Energy Sciences (SIMES) at SLAC is available. As a Bessel Research Award winner (2021), Prof. Chueh is a member of the Humboldt Network and has repeatedly hosted German postdocs – the host eligibility required by the programme is given.</w:t>
      </w:r>
    </w:p>
    <w:p w14:paraId="6E25979A" w14:textId="77777777" w:rsidR="00395E98" w:rsidRDefault="00395E98">
      <w:pPr>
        <w:pStyle w:val="Heading2"/>
        <w:rPr>
          <w:rFonts w:ascii="Arial" w:eastAsia="Times New Roman" w:hAnsi="Arial" w:cs="Arial"/>
        </w:rPr>
      </w:pPr>
      <w:r>
        <w:rPr>
          <w:rFonts w:ascii="Arial" w:eastAsia="Times New Roman" w:hAnsi="Arial" w:cs="Arial"/>
        </w:rPr>
        <w:t>3  Work programme (24 months)</w:t>
      </w:r>
    </w:p>
    <w:p w14:paraId="3335D24D" w14:textId="77777777" w:rsidR="00395E98" w:rsidRDefault="00395E98">
      <w:pPr>
        <w:pStyle w:val="Heading3"/>
        <w:rPr>
          <w:rFonts w:ascii="Arial" w:eastAsia="Times New Roman" w:hAnsi="Arial" w:cs="Arial"/>
        </w:rPr>
      </w:pPr>
      <w:r>
        <w:rPr>
          <w:rFonts w:ascii="Arial" w:eastAsia="Times New Roman" w:hAnsi="Arial" w:cs="Arial"/>
        </w:rPr>
        <w:t>WP1 – Synthesis and descriptor measurement of the STF series (months 1–10)</w:t>
      </w:r>
    </w:p>
    <w:p w14:paraId="32D1A86B" w14:textId="77777777" w:rsidR="00395E98" w:rsidRDefault="00395E98">
      <w:pPr>
        <w:pStyle w:val="NormalWeb"/>
        <w:rPr>
          <w:rFonts w:ascii="Arial" w:hAnsi="Arial" w:cs="Arial"/>
          <w:sz w:val="21"/>
          <w:szCs w:val="21"/>
        </w:rPr>
      </w:pPr>
      <w:r>
        <w:rPr>
          <w:rFonts w:ascii="Arial" w:hAnsi="Arial" w:cs="Arial"/>
          <w:sz w:val="21"/>
          <w:szCs w:val="21"/>
        </w:rPr>
        <w:t>PLD growth of epitaxial SrTi</w:t>
      </w:r>
      <w:r>
        <w:rPr>
          <w:rFonts w:ascii="Arial" w:hAnsi="Arial" w:cs="Arial"/>
          <w:sz w:val="21"/>
          <w:szCs w:val="21"/>
          <w:vertAlign w:val="subscript"/>
        </w:rPr>
        <w:t>1-x</w:t>
      </w:r>
      <w:r>
        <w:rPr>
          <w:rFonts w:ascii="Arial" w:hAnsi="Arial" w:cs="Arial"/>
          <w:sz w:val="21"/>
          <w:szCs w:val="21"/>
        </w:rPr>
        <w:t>Fe</w:t>
      </w:r>
      <w:r>
        <w:rPr>
          <w:rFonts w:ascii="Arial" w:hAnsi="Arial" w:cs="Arial"/>
          <w:sz w:val="21"/>
          <w:szCs w:val="21"/>
          <w:vertAlign w:val="subscript"/>
        </w:rPr>
        <w:t>x</w:t>
      </w:r>
      <w:r>
        <w:rPr>
          <w:rFonts w:ascii="Arial" w:hAnsi="Arial" w:cs="Arial"/>
          <w:sz w:val="21"/>
          <w:szCs w:val="21"/>
        </w:rPr>
        <w:t>O</w:t>
      </w:r>
      <w:r>
        <w:rPr>
          <w:rFonts w:ascii="Arial" w:hAnsi="Arial" w:cs="Arial"/>
          <w:sz w:val="21"/>
          <w:szCs w:val="21"/>
          <w:vertAlign w:val="subscript"/>
        </w:rPr>
        <w:t>3-δ</w:t>
      </w:r>
      <w:r>
        <w:rPr>
          <w:rFonts w:ascii="Arial" w:hAnsi="Arial" w:cs="Arial"/>
          <w:sz w:val="21"/>
          <w:szCs w:val="21"/>
        </w:rPr>
        <w:t xml:space="preserve"> films (x = 0; 0.02; 0.05; 0.1; 0.2; 0.3 – from the dilute-dopant regime of the established Fe:SrTiO</w:t>
      </w:r>
      <w:r>
        <w:rPr>
          <w:rFonts w:ascii="Arial" w:hAnsi="Arial" w:cs="Arial"/>
          <w:sz w:val="21"/>
          <w:szCs w:val="21"/>
          <w:vertAlign w:val="subscript"/>
        </w:rPr>
        <w:t>3</w:t>
      </w:r>
      <w:r>
        <w:rPr>
          <w:rFonts w:ascii="Arial" w:hAnsi="Arial" w:cs="Arial"/>
          <w:sz w:val="21"/>
          <w:szCs w:val="21"/>
        </w:rPr>
        <w:t xml:space="preserve"> devices [13] into the mixed-conducting regime, safely below the vacancy-ordering region) on Nb:SrTiO</w:t>
      </w:r>
      <w:r>
        <w:rPr>
          <w:rFonts w:ascii="Arial" w:hAnsi="Arial" w:cs="Arial"/>
          <w:sz w:val="21"/>
          <w:szCs w:val="21"/>
          <w:vertAlign w:val="subscript"/>
        </w:rPr>
        <w:t>3</w:t>
      </w:r>
      <w:r>
        <w:rPr>
          <w:rFonts w:ascii="Arial" w:hAnsi="Arial" w:cs="Arial"/>
          <w:sz w:val="21"/>
          <w:szCs w:val="21"/>
        </w:rPr>
        <w:t xml:space="preserve"> substrates in the Stanford/SLAC thin-film laboratories; structural validation (XRD, AFM); cation and oxygen stoichiometry (XPS, RBS where required). In parallel, first XAS campaign at SSRL: Fe-L</w:t>
      </w:r>
      <w:r>
        <w:rPr>
          <w:rFonts w:ascii="Arial" w:hAnsi="Arial" w:cs="Arial"/>
          <w:sz w:val="21"/>
          <w:szCs w:val="21"/>
          <w:vertAlign w:val="subscript"/>
        </w:rPr>
        <w:t>2,3</w:t>
      </w:r>
      <w:r>
        <w:rPr>
          <w:rFonts w:ascii="Arial" w:hAnsi="Arial" w:cs="Arial"/>
          <w:sz w:val="21"/>
          <w:szCs w:val="21"/>
        </w:rPr>
        <w:t xml:space="preserve"> and Ti-L</w:t>
      </w:r>
      <w:r>
        <w:rPr>
          <w:rFonts w:ascii="Arial" w:hAnsi="Arial" w:cs="Arial"/>
          <w:sz w:val="21"/>
          <w:szCs w:val="21"/>
          <w:vertAlign w:val="subscript"/>
        </w:rPr>
        <w:t>2,3</w:t>
      </w:r>
      <w:r>
        <w:rPr>
          <w:rFonts w:ascii="Arial" w:hAnsi="Arial" w:cs="Arial"/>
          <w:sz w:val="21"/>
          <w:szCs w:val="21"/>
        </w:rPr>
        <w:t xml:space="preserve"> valence analysis and O-K pre-edge quantification following [11] for every composition → experimental covalency scale of the series, benchmarked against the closed-form defect model [9] and the published STF spectroscopy [10]. </w:t>
      </w:r>
      <w:r>
        <w:rPr>
          <w:rFonts w:ascii="Arial" w:hAnsi="Arial" w:cs="Arial"/>
          <w:i/>
          <w:iCs/>
          <w:sz w:val="21"/>
          <w:szCs w:val="21"/>
        </w:rPr>
        <w:t>Milestone M1 (month 10): validated sample series with complete descriptor set.</w:t>
      </w:r>
    </w:p>
    <w:p w14:paraId="3036DF8C" w14:textId="77777777" w:rsidR="00395E98" w:rsidRDefault="00395E98">
      <w:pPr>
        <w:pStyle w:val="Heading3"/>
        <w:rPr>
          <w:rFonts w:ascii="Arial" w:eastAsia="Times New Roman" w:hAnsi="Arial" w:cs="Arial"/>
        </w:rPr>
      </w:pPr>
      <w:r>
        <w:rPr>
          <w:rFonts w:ascii="Arial" w:eastAsia="Times New Roman" w:hAnsi="Arial" w:cs="Arial"/>
        </w:rPr>
        <w:t>WP2 – Intrinsic devices and switching characterisation (months 8–18)</w:t>
      </w:r>
    </w:p>
    <w:p w14:paraId="442ACD0F" w14:textId="77777777" w:rsidR="00395E98" w:rsidRDefault="00395E98">
      <w:pPr>
        <w:pStyle w:val="NormalWeb"/>
        <w:rPr>
          <w:rFonts w:ascii="Arial" w:hAnsi="Arial" w:cs="Arial"/>
          <w:sz w:val="21"/>
          <w:szCs w:val="21"/>
        </w:rPr>
      </w:pPr>
      <w:r>
        <w:rPr>
          <w:rFonts w:ascii="Arial" w:hAnsi="Arial" w:cs="Arial"/>
          <w:sz w:val="21"/>
          <w:szCs w:val="21"/>
        </w:rPr>
        <w:t xml:space="preserve">Two inert top-electrode flavours per composition, processed photolithographically with ≥ 30 nominally identical cells each: (i) Pt pads as the workhorse geometry, and (ii) </w:t>
      </w:r>
      <w:r>
        <w:rPr>
          <w:rFonts w:ascii="Arial" w:hAnsi="Arial" w:cs="Arial"/>
          <w:i/>
          <w:iCs/>
          <w:sz w:val="21"/>
          <w:szCs w:val="21"/>
        </w:rPr>
        <w:t>graphene-sealed cells</w:t>
      </w:r>
      <w:r>
        <w:rPr>
          <w:rFonts w:ascii="Arial" w:hAnsi="Arial" w:cs="Arial"/>
          <w:sz w:val="21"/>
          <w:szCs w:val="21"/>
        </w:rPr>
        <w:t xml:space="preserve"> – photoelectron-transparent and gas-tight, following the platform demonstrated on SrTiO</w:t>
      </w:r>
      <w:r>
        <w:rPr>
          <w:rFonts w:ascii="Arial" w:hAnsi="Arial" w:cs="Arial"/>
          <w:sz w:val="21"/>
          <w:szCs w:val="21"/>
          <w:vertAlign w:val="subscript"/>
        </w:rPr>
        <w:t>3</w:t>
      </w:r>
      <w:r>
        <w:rPr>
          <w:rFonts w:ascii="Arial" w:hAnsi="Arial" w:cs="Arial"/>
          <w:sz w:val="21"/>
          <w:szCs w:val="21"/>
        </w:rPr>
        <w:t xml:space="preserve"> [17, 18] – which keep the oxygen balance strictly internal [19, 20] and remain spectroscopy-ready. Interface control against unintentional layers follows the lessons of [21] (epitaxial platform, reference samples). Quasistatic and pulsed characterisation of the eightwise regime [13, 14, 29] under the statistics protocol established in my doctorate (ON/OFF at defined read-out voltage, forming requirement, kinetics, temperature-accelerated retention, endurance). </w:t>
      </w:r>
      <w:r>
        <w:rPr>
          <w:rFonts w:ascii="Arial" w:hAnsi="Arial" w:cs="Arial"/>
          <w:i/>
          <w:iCs/>
          <w:sz w:val="21"/>
          <w:szCs w:val="21"/>
        </w:rPr>
        <w:t>Milestone M2 (month 18): switching figures of merit as a function of x, in both geometries, with robust statistics.</w:t>
      </w:r>
    </w:p>
    <w:p w14:paraId="39099210" w14:textId="77777777" w:rsidR="00395E98" w:rsidRDefault="00395E98">
      <w:pPr>
        <w:pStyle w:val="Heading3"/>
        <w:rPr>
          <w:rFonts w:ascii="Arial" w:eastAsia="Times New Roman" w:hAnsi="Arial" w:cs="Arial"/>
        </w:rPr>
      </w:pPr>
      <w:r>
        <w:rPr>
          <w:rFonts w:ascii="Arial" w:eastAsia="Times New Roman" w:hAnsi="Arial" w:cs="Arial"/>
        </w:rPr>
        <w:t>WP3 – Correlation, operando validation and publication (months 16–24)</w:t>
      </w:r>
    </w:p>
    <w:p w14:paraId="3F3552F1" w14:textId="77777777" w:rsidR="00395E98" w:rsidRDefault="00395E98">
      <w:pPr>
        <w:pStyle w:val="NormalWeb"/>
        <w:rPr>
          <w:rFonts w:ascii="Arial" w:hAnsi="Arial" w:cs="Arial"/>
          <w:sz w:val="21"/>
          <w:szCs w:val="21"/>
        </w:rPr>
      </w:pPr>
      <w:r>
        <w:rPr>
          <w:rFonts w:ascii="Arial" w:hAnsi="Arial" w:cs="Arial"/>
          <w:sz w:val="21"/>
          <w:szCs w:val="21"/>
        </w:rPr>
        <w:t>Correlation analysis covalency (XAS) ↔ ΔH</w:t>
      </w:r>
      <w:r>
        <w:rPr>
          <w:rFonts w:ascii="Arial" w:hAnsi="Arial" w:cs="Arial"/>
          <w:sz w:val="21"/>
          <w:szCs w:val="21"/>
          <w:vertAlign w:val="subscript"/>
        </w:rPr>
        <w:t>red</w:t>
      </w:r>
      <w:r>
        <w:rPr>
          <w:rFonts w:ascii="Arial" w:hAnsi="Arial" w:cs="Arial"/>
          <w:sz w:val="21"/>
          <w:szCs w:val="21"/>
        </w:rPr>
        <w:t>/E</w:t>
      </w:r>
      <w:r>
        <w:rPr>
          <w:rFonts w:ascii="Arial" w:hAnsi="Arial" w:cs="Arial"/>
          <w:sz w:val="21"/>
          <w:szCs w:val="21"/>
          <w:vertAlign w:val="subscript"/>
        </w:rPr>
        <w:t>V</w:t>
      </w:r>
      <w:r>
        <w:rPr>
          <w:rFonts w:ascii="Arial" w:hAnsi="Arial" w:cs="Arial"/>
          <w:sz w:val="21"/>
          <w:szCs w:val="21"/>
        </w:rPr>
        <w:t xml:space="preserve"> (defect model [9], descriptor models [5–8]) ↔ switching metrics; test of the optimum hypothesis. Second SSRL campaign: XAS </w:t>
      </w:r>
      <w:r>
        <w:rPr>
          <w:rFonts w:ascii="Arial" w:hAnsi="Arial" w:cs="Arial"/>
          <w:i/>
          <w:iCs/>
          <w:sz w:val="21"/>
          <w:szCs w:val="21"/>
        </w:rPr>
        <w:t>through the graphene electrode</w:t>
      </w:r>
      <w:r>
        <w:rPr>
          <w:rFonts w:ascii="Arial" w:hAnsi="Arial" w:cs="Arial"/>
          <w:sz w:val="21"/>
          <w:szCs w:val="21"/>
        </w:rPr>
        <w:t xml:space="preserve"> on switched cells (ex-situ before/after switching, operando if successful, following [17]) to verify that the composition-dependent differences rest on different V</w:t>
      </w:r>
      <w:r>
        <w:rPr>
          <w:rFonts w:ascii="Arial" w:hAnsi="Arial" w:cs="Arial"/>
          <w:sz w:val="21"/>
          <w:szCs w:val="21"/>
          <w:vertAlign w:val="subscript"/>
        </w:rPr>
        <w:t>O</w:t>
      </w:r>
      <w:r>
        <w:rPr>
          <w:rFonts w:ascii="Arial" w:hAnsi="Arial" w:cs="Arial"/>
          <w:sz w:val="21"/>
          <w:szCs w:val="21"/>
        </w:rPr>
        <w:t xml:space="preserve"> dynamics inside the oxide. Publication of the first covalency-resolved study of intrinsically switching perovskite devices; dataset released following FAIR principles. </w:t>
      </w:r>
      <w:r>
        <w:rPr>
          <w:rFonts w:ascii="Arial" w:hAnsi="Arial" w:cs="Arial"/>
          <w:i/>
          <w:iCs/>
          <w:sz w:val="21"/>
          <w:szCs w:val="21"/>
        </w:rPr>
        <w:t>Milestone M3 (month 24): submitted publication(s), public dataset.</w:t>
      </w:r>
    </w:p>
    <w:p w14:paraId="7BBBCD4D" w14:textId="77777777" w:rsidR="00395E98" w:rsidRDefault="00395E98">
      <w:pPr>
        <w:pStyle w:val="Heading2"/>
        <w:rPr>
          <w:rFonts w:ascii="Arial" w:eastAsia="Times New Roman" w:hAnsi="Arial" w:cs="Arial"/>
        </w:rPr>
      </w:pPr>
      <w:r>
        <w:rPr>
          <w:rFonts w:ascii="Arial" w:eastAsia="Times New Roman" w:hAnsi="Arial" w:cs="Arial"/>
        </w:rPr>
        <w:t>4  Timeline</w:t>
      </w:r>
    </w:p>
    <w:tbl>
      <w:tblPr>
        <w:tblW w:w="5000" w:type="pct"/>
        <w:tblCellMar>
          <w:top w:w="15" w:type="dxa"/>
          <w:left w:w="15" w:type="dxa"/>
          <w:bottom w:w="15" w:type="dxa"/>
          <w:right w:w="15" w:type="dxa"/>
        </w:tblCellMar>
        <w:tblLook w:val="04A0" w:firstRow="1" w:lastRow="0" w:firstColumn="1" w:lastColumn="0" w:noHBand="0" w:noVBand="1"/>
      </w:tblPr>
      <w:tblGrid>
        <w:gridCol w:w="3623"/>
        <w:gridCol w:w="680"/>
        <w:gridCol w:w="679"/>
        <w:gridCol w:w="679"/>
        <w:gridCol w:w="679"/>
        <w:gridCol w:w="679"/>
        <w:gridCol w:w="679"/>
        <w:gridCol w:w="679"/>
        <w:gridCol w:w="679"/>
      </w:tblGrid>
      <w:tr w:rsidR="00000000" w14:paraId="44160EB3" w14:textId="77777777">
        <w:tc>
          <w:tcPr>
            <w:tcW w:w="2000" w:type="pct"/>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6EBFF66F"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555DFD14"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Q1</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11C2D2BE"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Q2</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7A1B7AC4"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Q3</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0B41B6CE"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Q4</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730EAB37"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Q5</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14CB4788"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Q6</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5583EB45"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Q7</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40E59F1E"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Q8</w:t>
            </w:r>
          </w:p>
        </w:tc>
      </w:tr>
      <w:tr w:rsidR="00000000" w14:paraId="7CC0D63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D3EC9D6"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WP1 Synthesis + XAS descriptors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D1E44C"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2FEB02"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579CCC"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26F555"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9E92B3" w14:textId="77777777" w:rsidR="00395E98" w:rsidRDefault="00395E98">
            <w:pPr>
              <w:spacing w:before="120" w:after="200"/>
              <w:jc w:val="center"/>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6EA82E" w14:textId="77777777" w:rsidR="00395E98" w:rsidRDefault="00395E98">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36CDAB" w14:textId="77777777" w:rsidR="00395E98" w:rsidRDefault="00395E98">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7CF49C" w14:textId="77777777" w:rsidR="00395E98" w:rsidRDefault="00395E98">
            <w:pPr>
              <w:spacing w:before="120" w:after="200"/>
              <w:jc w:val="center"/>
              <w:rPr>
                <w:rFonts w:eastAsia="Times New Roman"/>
                <w:sz w:val="20"/>
                <w:szCs w:val="20"/>
              </w:rPr>
            </w:pPr>
          </w:p>
        </w:tc>
      </w:tr>
      <w:tr w:rsidR="00000000" w14:paraId="7A4164B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E6079F"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WP2 Devices + switching statistics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BF0EF0" w14:textId="77777777" w:rsidR="00395E98" w:rsidRDefault="00395E98">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AD0587" w14:textId="77777777" w:rsidR="00395E98" w:rsidRDefault="00395E98">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B9B4BA"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57359D"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B08D32"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2583BE"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3BDBED" w14:textId="77777777" w:rsidR="00395E98" w:rsidRDefault="00395E98">
            <w:pPr>
              <w:spacing w:before="120" w:after="200"/>
              <w:jc w:val="center"/>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70ED04" w14:textId="77777777" w:rsidR="00395E98" w:rsidRDefault="00395E98">
            <w:pPr>
              <w:spacing w:before="120" w:after="200"/>
              <w:jc w:val="center"/>
              <w:rPr>
                <w:rFonts w:eastAsia="Times New Roman"/>
                <w:sz w:val="20"/>
                <w:szCs w:val="20"/>
              </w:rPr>
            </w:pPr>
          </w:p>
        </w:tc>
      </w:tr>
      <w:tr w:rsidR="00000000" w14:paraId="7A0B3EF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C22F34"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WP3 Correlation + operando + publication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99ACA3" w14:textId="77777777" w:rsidR="00395E98" w:rsidRDefault="00395E98">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80E5BF" w14:textId="77777777" w:rsidR="00395E98" w:rsidRDefault="00395E98">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FAA5E1" w14:textId="77777777" w:rsidR="00395E98" w:rsidRDefault="00395E98">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BA8C3E" w14:textId="77777777" w:rsidR="00395E98" w:rsidRDefault="00395E98">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A308C1" w14:textId="77777777" w:rsidR="00395E98" w:rsidRDefault="00395E98">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93B2FA"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45D2A6"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AEFC20" w14:textId="77777777" w:rsidR="00395E98" w:rsidRDefault="00395E98">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1C7ADCA0" w14:textId="77777777" w:rsidR="00395E98" w:rsidRDefault="00395E98">
      <w:pPr>
        <w:pStyle w:val="Heading2"/>
        <w:rPr>
          <w:rFonts w:ascii="Arial" w:eastAsia="Times New Roman" w:hAnsi="Arial" w:cs="Arial"/>
        </w:rPr>
      </w:pPr>
      <w:r>
        <w:rPr>
          <w:rFonts w:ascii="Arial" w:eastAsia="Times New Roman" w:hAnsi="Arial" w:cs="Arial"/>
        </w:rPr>
        <w:t>5  Career perspective and return strategy</w:t>
      </w:r>
    </w:p>
    <w:p w14:paraId="306EB2C7" w14:textId="77777777" w:rsidR="00395E98" w:rsidRDefault="00395E98">
      <w:pPr>
        <w:pStyle w:val="NormalWeb"/>
        <w:rPr>
          <w:rFonts w:ascii="Arial" w:hAnsi="Arial" w:cs="Arial"/>
          <w:sz w:val="21"/>
          <w:szCs w:val="21"/>
        </w:rPr>
      </w:pPr>
      <w:r>
        <w:rPr>
          <w:rFonts w:ascii="Arial" w:hAnsi="Arial" w:cs="Arial"/>
          <w:sz w:val="21"/>
          <w:szCs w:val="21"/>
        </w:rPr>
        <w:t xml:space="preserve">The project is the deliberate building block between my doctorate (memristive devices, PLD, switching statistics) and my longer-term goal of establishing my own junior research group in Germany on descriptor-based materials development for memristive oxides (Emmy Noether proposal in preparation; ERC Starting Grant as an alternative). The stay with Prof. Chueh closes the one competence gap of my profile – quantitative synchrotron XAS and defect thermodynamics – and at the same time delivers the empirical foundation (the covalency-resolved intrinsic STF dataset) for the larger programme of a “treasure map” of memristive oxides in analogy to the bonding-descriptor maps of Wuttig et al. [28]. The choice of STF for this fellowship is deliberate three times over: the switching stays inside the oxide (no reactive-electrode confounder), the graphene-sealed platform keeps it spectroscopy-ready and atmosphere-independent, and the mechanism is stable across the composition range. The subsequent group programme then scales the validated methodology to the mixed-valent A-site families (manganites, ferrites, cobaltites), where reactive interfaces and topotactic phase transitions are no longer confounders but become chartable mechanism boundaries on the map. The return is concretely planned: reintegration into the German oxide-electronics environment (FZ Jülich/RWTH Aachen, JARA), supported by the Feodor Lynen Return Fellowship, with submission of the group proposal during the final year of the stay. The Stanford/SSRL collaboration built up abroad will be continued as the transatlantic bridge of the future group.</w:t>
      </w:r>
    </w:p>
    <w:p w14:paraId="21CD4F2A" w14:textId="77777777" w:rsidR="00395E98" w:rsidRDefault="00395E98">
      <w:pPr>
        <w:pStyle w:val="Heading2"/>
        <w:rPr>
          <w:rFonts w:ascii="Arial" w:eastAsia="Times New Roman" w:hAnsi="Arial" w:cs="Arial"/>
        </w:rPr>
      </w:pPr>
      <w:r>
        <w:rPr>
          <w:rFonts w:ascii="Arial" w:eastAsia="Times New Roman" w:hAnsi="Arial" w:cs="Arial"/>
        </w:rPr>
        <w:t>6  References</w:t>
      </w:r>
    </w:p>
    <w:p w14:paraId="5C62D40D" w14:textId="77777777" w:rsidR="00395E98" w:rsidRDefault="00395E98">
      <w:pPr>
        <w:spacing w:after="60"/>
        <w:ind w:hanging="480"/>
        <w:divId w:val="208340846"/>
        <w:rPr>
          <w:rFonts w:ascii="Arial" w:hAnsi="Arial" w:cs="Arial"/>
          <w:sz w:val="18"/>
          <w:szCs w:val="18"/>
        </w:rPr>
      </w:pPr>
      <w:r>
        <w:rPr>
          <w:rFonts w:ascii="Arial" w:hAnsi="Arial" w:cs="Arial"/>
          <w:sz w:val="18"/>
          <w:szCs w:val="18"/>
        </w:rPr>
        <w:t>[1] R. Waser, M. Aono, Nanoionics-based resistive switching memories. Nature Materials 6, 833–840 (2007).</w:t>
      </w:r>
    </w:p>
    <w:p w14:paraId="566DCFBD" w14:textId="77777777" w:rsidR="00395E98" w:rsidRDefault="00395E98">
      <w:pPr>
        <w:spacing w:after="60"/>
        <w:ind w:hanging="480"/>
        <w:divId w:val="208340846"/>
        <w:rPr>
          <w:rFonts w:ascii="Arial" w:hAnsi="Arial" w:cs="Arial"/>
          <w:sz w:val="18"/>
          <w:szCs w:val="18"/>
        </w:rPr>
      </w:pPr>
      <w:r>
        <w:rPr>
          <w:rFonts w:ascii="Arial" w:hAnsi="Arial" w:cs="Arial"/>
          <w:sz w:val="18"/>
          <w:szCs w:val="18"/>
        </w:rPr>
        <w:t xml:space="preserve">[2] R. Waser, R. Dittmann, G. Staikov, K. Szot, Redox-Based Resistive Switching Memories – Nanoionic Mechanisms, Prospects, and Challenges. Advanced Materials 21, 2632–2663 (2009).</w:t>
      </w:r>
    </w:p>
    <w:p w14:paraId="4DC75768" w14:textId="77777777" w:rsidR="00395E98" w:rsidRDefault="00395E98">
      <w:pPr>
        <w:spacing w:after="60"/>
        <w:ind w:hanging="480"/>
        <w:divId w:val="208340846"/>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73711123" w14:textId="77777777" w:rsidR="00395E98" w:rsidRDefault="00395E98">
      <w:pPr>
        <w:spacing w:after="60"/>
        <w:ind w:hanging="480"/>
        <w:divId w:val="208340846"/>
        <w:rPr>
          <w:rFonts w:ascii="Arial" w:hAnsi="Arial" w:cs="Arial"/>
          <w:sz w:val="18"/>
          <w:szCs w:val="18"/>
        </w:rPr>
      </w:pPr>
      <w:r>
        <w:rPr>
          <w:rFonts w:ascii="Arial" w:hAnsi="Arial" w:cs="Arial"/>
          <w:sz w:val="18"/>
          <w:szCs w:val="18"/>
        </w:rPr>
        <w:t>[4] S. Menzel, M. Waters, A. Marchewka, U. Böttger, R. Dittmann, R. Waser, Origin of the Ultra-nonlinear Switching Kinetics in Oxide-Based Resistive Switches. Advanced Functional Materials 21, 4487–4492 (2011).</w:t>
      </w:r>
    </w:p>
    <w:p w14:paraId="53AB5C2E" w14:textId="77777777" w:rsidR="00395E98" w:rsidRDefault="00395E98">
      <w:pPr>
        <w:spacing w:after="60"/>
        <w:ind w:hanging="480"/>
        <w:divId w:val="208340846"/>
        <w:rPr>
          <w:rFonts w:ascii="Arial" w:hAnsi="Arial" w:cs="Arial"/>
          <w:sz w:val="18"/>
          <w:szCs w:val="18"/>
        </w:rPr>
      </w:pPr>
      <w:r>
        <w:rPr>
          <w:rFonts w:ascii="Arial" w:hAnsi="Arial" w:cs="Arial"/>
          <w:sz w:val="18"/>
          <w:szCs w:val="18"/>
        </w:rPr>
        <w:t>[5] Y.-L. Lee, J. Kleis, J. Rossmeisl, Y. Shao-Horn, D. Morgan, Prediction of solid oxide fuel cell cathode activity with first-principles descriptors. Energy &amp; Environmental Science 4, 3966–3970 (2011).</w:t>
      </w:r>
    </w:p>
    <w:p w14:paraId="6FFC4346" w14:textId="77777777" w:rsidR="00395E98" w:rsidRDefault="00395E98">
      <w:pPr>
        <w:spacing w:after="60"/>
        <w:ind w:hanging="480"/>
        <w:divId w:val="208340846"/>
        <w:rPr>
          <w:rFonts w:ascii="Arial" w:hAnsi="Arial" w:cs="Arial"/>
          <w:sz w:val="18"/>
          <w:szCs w:val="18"/>
        </w:rPr>
      </w:pPr>
      <w:r>
        <w:rPr>
          <w:rFonts w:ascii="Arial" w:hAnsi="Arial" w:cs="Arial"/>
          <w:sz w:val="18"/>
          <w:szCs w:val="18"/>
        </w:rPr>
        <w:t>[6] R. Jacobs, J. Hwang, Y. Shao-Horn, D. Morgan, Assessing Correlations of Perovskite Catalytic Performance with Electronic Structure Descriptors. Chemistry of Materials 31, 785–797 (2019).</w:t>
      </w:r>
    </w:p>
    <w:p w14:paraId="3BADCA38" w14:textId="77777777" w:rsidR="00395E98" w:rsidRDefault="00395E98">
      <w:pPr>
        <w:spacing w:after="60"/>
        <w:ind w:hanging="480"/>
        <w:divId w:val="208340846"/>
        <w:rPr>
          <w:rFonts w:ascii="Arial" w:hAnsi="Arial" w:cs="Arial"/>
          <w:sz w:val="18"/>
          <w:szCs w:val="18"/>
        </w:rPr>
      </w:pPr>
      <w:r>
        <w:rPr>
          <w:rFonts w:ascii="Arial" w:hAnsi="Arial" w:cs="Arial"/>
          <w:sz w:val="18"/>
          <w:szCs w:val="18"/>
        </w:rPr>
        <w:t>[7] A. M. Deml, V. Stevanović, C. L. Muhich, C. B. Musgrave, R. O’Hayre, Oxide enthalpy of formation and band gap energy as accurate descriptors of oxygen vacancy formation energetics. Energy &amp; Environmental Science 7, 1996–2004 (2014).</w:t>
      </w:r>
    </w:p>
    <w:p w14:paraId="15338E81" w14:textId="77777777" w:rsidR="00395E98" w:rsidRDefault="00395E98">
      <w:pPr>
        <w:spacing w:after="60"/>
        <w:ind w:hanging="480"/>
        <w:divId w:val="208340846"/>
        <w:rPr>
          <w:rFonts w:ascii="Arial" w:hAnsi="Arial" w:cs="Arial"/>
          <w:sz w:val="18"/>
          <w:szCs w:val="18"/>
        </w:rPr>
      </w:pPr>
      <w:r>
        <w:rPr>
          <w:rFonts w:ascii="Arial" w:hAnsi="Arial" w:cs="Arial"/>
          <w:sz w:val="18"/>
          <w:szCs w:val="18"/>
        </w:rPr>
        <w:t>[8] R. B. Wexler, G. Sai Gautam, E. B. Stechel, E. A. Carter, Factors Governing Oxygen Vacancy Formation in Oxide Perovskites. Journal of the American Chemical Society 143, 13212–13227 (2021).</w:t>
      </w:r>
    </w:p>
    <w:p w14:paraId="75EE9B44" w14:textId="77777777" w:rsidR="00395E98" w:rsidRDefault="00395E98">
      <w:pPr>
        <w:spacing w:after="60"/>
        <w:ind w:hanging="480"/>
        <w:divId w:val="208340846"/>
        <w:rPr>
          <w:rFonts w:ascii="Arial" w:hAnsi="Arial" w:cs="Arial"/>
          <w:sz w:val="18"/>
          <w:szCs w:val="18"/>
        </w:rPr>
      </w:pPr>
      <w:r>
        <w:rPr>
          <w:rFonts w:ascii="Arial" w:hAnsi="Arial" w:cs="Arial"/>
          <w:sz w:val="18"/>
          <w:szCs w:val="18"/>
        </w:rPr>
        <w:t>[9] A. Rothschild, W. Menesklou, H. L. Tuller, E. Ivers-Tiffée, Electronic Structure, Defect Chemistry, and Transport Properties of SrTi</w:t>
      </w:r>
      <w:r>
        <w:rPr>
          <w:rFonts w:ascii="Arial" w:hAnsi="Arial" w:cs="Arial"/>
          <w:sz w:val="18"/>
          <w:szCs w:val="18"/>
          <w:vertAlign w:val="subscript"/>
        </w:rPr>
        <w:t>1-x</w:t>
      </w:r>
      <w:r>
        <w:rPr>
          <w:rFonts w:ascii="Arial" w:hAnsi="Arial" w:cs="Arial"/>
          <w:sz w:val="18"/>
          <w:szCs w:val="18"/>
        </w:rPr>
        <w:t>Fe</w:t>
      </w:r>
      <w:r>
        <w:rPr>
          <w:rFonts w:ascii="Arial" w:hAnsi="Arial" w:cs="Arial"/>
          <w:sz w:val="18"/>
          <w:szCs w:val="18"/>
          <w:vertAlign w:val="subscript"/>
        </w:rPr>
        <w:t>x</w:t>
      </w:r>
      <w:r>
        <w:rPr>
          <w:rFonts w:ascii="Arial" w:hAnsi="Arial" w:cs="Arial"/>
          <w:sz w:val="18"/>
          <w:szCs w:val="18"/>
        </w:rPr>
        <w:t>O</w:t>
      </w:r>
      <w:r>
        <w:rPr>
          <w:rFonts w:ascii="Arial" w:hAnsi="Arial" w:cs="Arial"/>
          <w:sz w:val="18"/>
          <w:szCs w:val="18"/>
          <w:vertAlign w:val="subscript"/>
        </w:rPr>
        <w:t>3-y</w:t>
      </w:r>
      <w:r>
        <w:rPr>
          <w:rFonts w:ascii="Arial" w:hAnsi="Arial" w:cs="Arial"/>
          <w:sz w:val="18"/>
          <w:szCs w:val="18"/>
        </w:rPr>
        <w:t xml:space="preserve"> Solid Solutions. Chemistry of Materials 18, 3651–3659 (2006).</w:t>
      </w:r>
    </w:p>
    <w:p w14:paraId="5DC76694" w14:textId="77777777" w:rsidR="00395E98" w:rsidRDefault="00395E98">
      <w:pPr>
        <w:spacing w:after="60"/>
        <w:ind w:hanging="480"/>
        <w:divId w:val="208340846"/>
        <w:rPr>
          <w:rFonts w:ascii="Arial" w:hAnsi="Arial" w:cs="Arial"/>
          <w:sz w:val="18"/>
          <w:szCs w:val="18"/>
        </w:rPr>
      </w:pPr>
      <w:r>
        <w:rPr>
          <w:rFonts w:ascii="Arial" w:hAnsi="Arial" w:cs="Arial"/>
          <w:sz w:val="18"/>
          <w:szCs w:val="18"/>
        </w:rPr>
        <w:t>[10] M. Vračar, A. Kuzmin, R. Merkle, J. Purans, E. A. Kotomin, J. Maier, O. Mathon, Jahn-Teller distortion around Fe</w:t>
      </w:r>
      <w:r>
        <w:rPr>
          <w:rFonts w:ascii="Arial" w:hAnsi="Arial" w:cs="Arial"/>
          <w:sz w:val="18"/>
          <w:szCs w:val="18"/>
          <w:vertAlign w:val="superscript"/>
        </w:rPr>
        <w:t>4+</w:t>
      </w:r>
      <w:r>
        <w:rPr>
          <w:rFonts w:ascii="Arial" w:hAnsi="Arial" w:cs="Arial"/>
          <w:sz w:val="18"/>
          <w:szCs w:val="18"/>
        </w:rPr>
        <w:t xml:space="preserve"> in Sr(Fe</w:t>
      </w:r>
      <w:r>
        <w:rPr>
          <w:rFonts w:ascii="Arial" w:hAnsi="Arial" w:cs="Arial"/>
          <w:sz w:val="18"/>
          <w:szCs w:val="18"/>
          <w:vertAlign w:val="subscript"/>
        </w:rPr>
        <w:t>x</w:t>
      </w:r>
      <w:r>
        <w:rPr>
          <w:rFonts w:ascii="Arial" w:hAnsi="Arial" w:cs="Arial"/>
          <w:sz w:val="18"/>
          <w:szCs w:val="18"/>
        </w:rPr>
        <w:t>Ti</w:t>
      </w:r>
      <w:r>
        <w:rPr>
          <w:rFonts w:ascii="Arial" w:hAnsi="Arial" w:cs="Arial"/>
          <w:sz w:val="18"/>
          <w:szCs w:val="18"/>
          <w:vertAlign w:val="subscript"/>
        </w:rPr>
        <w:t>1-x</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from x-ray absorption spectroscopy, x-ray diffraction, and vibrational spectroscopy. Physical Review B 76, 174107 (2007).</w:t>
      </w:r>
    </w:p>
    <w:p w14:paraId="45B724BD" w14:textId="77777777" w:rsidR="00395E98" w:rsidRDefault="00395E98">
      <w:pPr>
        <w:spacing w:after="60"/>
        <w:ind w:hanging="480"/>
        <w:divId w:val="208340846"/>
        <w:rPr>
          <w:rFonts w:ascii="Arial" w:hAnsi="Arial" w:cs="Arial"/>
          <w:sz w:val="18"/>
          <w:szCs w:val="18"/>
        </w:rPr>
      </w:pPr>
      <w:r>
        <w:rPr>
          <w:rFonts w:ascii="Arial" w:hAnsi="Arial" w:cs="Arial"/>
          <w:sz w:val="18"/>
          <w:szCs w:val="18"/>
        </w:rPr>
        <w:t>[11] J. Suntivich et al., Estimating Hybridization of Transition Metal and Oxygen States in Perovskites from O K-edge X-ray Absorption Spectroscopy. Journal of Physical Chemistry C 118, 1856–1863 (2014).</w:t>
      </w:r>
    </w:p>
    <w:p w14:paraId="1E0952DC" w14:textId="77777777" w:rsidR="00395E98" w:rsidRDefault="00395E98">
      <w:pPr>
        <w:spacing w:after="60"/>
        <w:ind w:hanging="480"/>
        <w:divId w:val="208340846"/>
        <w:rPr>
          <w:rFonts w:ascii="Arial" w:hAnsi="Arial" w:cs="Arial"/>
          <w:sz w:val="18"/>
          <w:szCs w:val="18"/>
        </w:rPr>
      </w:pPr>
      <w:r>
        <w:rPr>
          <w:rFonts w:ascii="Arial" w:hAnsi="Arial" w:cs="Arial"/>
          <w:sz w:val="18"/>
          <w:szCs w:val="18"/>
        </w:rPr>
        <w:t>[12] F. Frati, M. O. J. Y. Hunault, F. M. F. de Groot, Oxygen K-edge X-ray Absorption Spectra. Chemical Reviews 120, 4056–4110 (2020).</w:t>
      </w:r>
    </w:p>
    <w:p w14:paraId="66BC807C" w14:textId="77777777" w:rsidR="00395E98" w:rsidRDefault="00395E98">
      <w:pPr>
        <w:spacing w:after="60"/>
        <w:ind w:hanging="480"/>
        <w:divId w:val="208340846"/>
        <w:rPr>
          <w:rFonts w:ascii="Arial" w:hAnsi="Arial" w:cs="Arial"/>
          <w:sz w:val="18"/>
          <w:szCs w:val="18"/>
        </w:rPr>
      </w:pPr>
      <w:r>
        <w:rPr>
          <w:rFonts w:ascii="Arial" w:hAnsi="Arial" w:cs="Arial"/>
          <w:sz w:val="18"/>
          <w:szCs w:val="18"/>
        </w:rPr>
        <w:t>[13] R. Muenstermann, T. Menke, R. Dittmann, R. Waser, Coexistence of Filamentary and Homogeneous Resistive Switching in Fe-Doped SrTiO</w:t>
      </w:r>
      <w:r>
        <w:rPr>
          <w:rFonts w:ascii="Arial" w:hAnsi="Arial" w:cs="Arial"/>
          <w:sz w:val="18"/>
          <w:szCs w:val="18"/>
          <w:vertAlign w:val="subscript"/>
        </w:rPr>
        <w:t>3</w:t>
      </w:r>
      <w:r>
        <w:rPr>
          <w:rFonts w:ascii="Arial" w:hAnsi="Arial" w:cs="Arial"/>
          <w:sz w:val="18"/>
          <w:szCs w:val="18"/>
        </w:rPr>
        <w:t xml:space="preserve"> Thin-Film Memristive Devices. Advanced Materials 22, 4819–4822 (2010).</w:t>
      </w:r>
    </w:p>
    <w:p w14:paraId="689A0896" w14:textId="77777777" w:rsidR="00395E98" w:rsidRDefault="00395E98">
      <w:pPr>
        <w:spacing w:after="60"/>
        <w:ind w:hanging="480"/>
        <w:divId w:val="208340846"/>
        <w:rPr>
          <w:rFonts w:ascii="Arial" w:hAnsi="Arial" w:cs="Arial"/>
          <w:sz w:val="18"/>
          <w:szCs w:val="18"/>
        </w:rPr>
      </w:pPr>
      <w:r>
        <w:rPr>
          <w:rFonts w:ascii="Arial" w:hAnsi="Arial" w:cs="Arial"/>
          <w:sz w:val="18"/>
          <w:szCs w:val="18"/>
        </w:rPr>
        <w:t>[14] A. Sarantopoulos, R. Waser, R. Dittmann, Eightwise Switching Mechanism in Memristive SrTiO</w:t>
      </w:r>
      <w:r>
        <w:rPr>
          <w:rFonts w:ascii="Arial" w:hAnsi="Arial" w:cs="Arial"/>
          <w:sz w:val="18"/>
          <w:szCs w:val="18"/>
          <w:vertAlign w:val="subscript"/>
        </w:rPr>
        <w:t>3</w:t>
      </w:r>
      <w:r>
        <w:rPr>
          <w:rFonts w:ascii="Arial" w:hAnsi="Arial" w:cs="Arial"/>
          <w:sz w:val="18"/>
          <w:szCs w:val="18"/>
        </w:rPr>
        <w:t xml:space="preserve"> Devices and Its Implications on the Device Performance. Physica Status Solidi A 221, 2300483 (2024).</w:t>
      </w:r>
    </w:p>
    <w:p w14:paraId="78483FC6" w14:textId="77777777" w:rsidR="00395E98" w:rsidRDefault="00395E98">
      <w:pPr>
        <w:spacing w:after="60"/>
        <w:ind w:hanging="480"/>
        <w:divId w:val="208340846"/>
        <w:rPr>
          <w:rFonts w:ascii="Arial" w:hAnsi="Arial" w:cs="Arial"/>
          <w:sz w:val="18"/>
          <w:szCs w:val="18"/>
        </w:rPr>
      </w:pPr>
      <w:r>
        <w:rPr>
          <w:rFonts w:ascii="Arial" w:hAnsi="Arial" w:cs="Arial"/>
          <w:sz w:val="18"/>
          <w:szCs w:val="18"/>
        </w:rPr>
        <w:t>[15] M. Janousch, G. I. Meijer, U. Staub, B. Delley, S. F. Karg, B. P. Andreasson, Role of Oxygen Vacancies in Cr-Doped SrTiO</w:t>
      </w:r>
      <w:r>
        <w:rPr>
          <w:rFonts w:ascii="Arial" w:hAnsi="Arial" w:cs="Arial"/>
          <w:sz w:val="18"/>
          <w:szCs w:val="18"/>
          <w:vertAlign w:val="subscript"/>
        </w:rPr>
        <w:t>3</w:t>
      </w:r>
      <w:r>
        <w:rPr>
          <w:rFonts w:ascii="Arial" w:hAnsi="Arial" w:cs="Arial"/>
          <w:sz w:val="18"/>
          <w:szCs w:val="18"/>
        </w:rPr>
        <w:t xml:space="preserve"> for Resistance-Change Memory. Advanced Materials 19, 2232–2235 (2007).</w:t>
      </w:r>
    </w:p>
    <w:p w14:paraId="06C3949B" w14:textId="77777777" w:rsidR="00395E98" w:rsidRDefault="00395E98">
      <w:pPr>
        <w:spacing w:after="60"/>
        <w:ind w:hanging="480"/>
        <w:divId w:val="208340846"/>
        <w:rPr>
          <w:rFonts w:ascii="Arial" w:hAnsi="Arial" w:cs="Arial"/>
          <w:sz w:val="18"/>
          <w:szCs w:val="18"/>
        </w:rPr>
      </w:pPr>
      <w:r>
        <w:rPr>
          <w:rFonts w:ascii="Arial" w:hAnsi="Arial" w:cs="Arial"/>
          <w:sz w:val="18"/>
          <w:szCs w:val="18"/>
        </w:rPr>
        <w:t>[16] C. Baeumer et al., Spectromicroscopic insights for rational design of redox-based memristive devices. Nature Communications 6, 8610 (2015).</w:t>
      </w:r>
    </w:p>
    <w:p w14:paraId="1828B396" w14:textId="77777777" w:rsidR="00395E98" w:rsidRDefault="00395E98">
      <w:pPr>
        <w:spacing w:after="60"/>
        <w:ind w:hanging="480"/>
        <w:divId w:val="208340846"/>
        <w:rPr>
          <w:rFonts w:ascii="Arial" w:hAnsi="Arial" w:cs="Arial"/>
          <w:sz w:val="18"/>
          <w:szCs w:val="18"/>
        </w:rPr>
      </w:pPr>
      <w:r>
        <w:rPr>
          <w:rFonts w:ascii="Arial" w:hAnsi="Arial" w:cs="Arial"/>
          <w:sz w:val="18"/>
          <w:szCs w:val="18"/>
        </w:rPr>
        <w:t>[17] C. Baeumer et al., Quantifying redox-induced Schottky barrier variations in memristive devices via in operando spectromicroscopy with graphene electrodes. Nature Communications 7, 12398 (2016).</w:t>
      </w:r>
    </w:p>
    <w:p w14:paraId="6C7E3A96" w14:textId="77777777" w:rsidR="00395E98" w:rsidRDefault="00395E98">
      <w:pPr>
        <w:spacing w:after="60"/>
        <w:ind w:hanging="480"/>
        <w:divId w:val="208340846"/>
        <w:rPr>
          <w:rFonts w:ascii="Arial" w:hAnsi="Arial" w:cs="Arial"/>
          <w:sz w:val="18"/>
          <w:szCs w:val="18"/>
        </w:rPr>
      </w:pPr>
      <w:r>
        <w:rPr>
          <w:rFonts w:ascii="Arial" w:hAnsi="Arial" w:cs="Arial"/>
          <w:sz w:val="18"/>
          <w:szCs w:val="18"/>
        </w:rPr>
        <w:t>[18] C. Baeumer et al., Subfilamentary Networks Cause Cycle-to-Cycle Variability in Memristive Devices. ACS Nano 11, 6921–6929 (2017).</w:t>
      </w:r>
    </w:p>
    <w:p w14:paraId="419A7611" w14:textId="77777777" w:rsidR="00395E98" w:rsidRDefault="00395E98">
      <w:pPr>
        <w:spacing w:after="60"/>
        <w:ind w:hanging="480"/>
        <w:divId w:val="208340846"/>
        <w:rPr>
          <w:rFonts w:ascii="Arial" w:hAnsi="Arial" w:cs="Arial"/>
          <w:sz w:val="18"/>
          <w:szCs w:val="18"/>
        </w:rPr>
      </w:pPr>
      <w:r>
        <w:rPr>
          <w:rFonts w:ascii="Arial" w:hAnsi="Arial" w:cs="Arial"/>
          <w:sz w:val="18"/>
          <w:szCs w:val="18"/>
        </w:rPr>
        <w:t>[19] T. Heisig, C. Baeumer, U. N. Gries et al., Oxygen Exchange Processes between Oxide Memristive Devices and Water Molecules. Advanced Materials 30, 1800957 (2018).</w:t>
      </w:r>
    </w:p>
    <w:p w14:paraId="5DB04177" w14:textId="77777777" w:rsidR="00395E98" w:rsidRDefault="00395E98">
      <w:pPr>
        <w:spacing w:after="60"/>
        <w:ind w:hanging="480"/>
        <w:divId w:val="208340846"/>
        <w:rPr>
          <w:rFonts w:ascii="Arial" w:hAnsi="Arial" w:cs="Arial"/>
          <w:sz w:val="18"/>
          <w:szCs w:val="18"/>
        </w:rPr>
      </w:pPr>
      <w:r>
        <w:rPr>
          <w:rFonts w:ascii="Arial" w:hAnsi="Arial" w:cs="Arial"/>
          <w:sz w:val="18"/>
          <w:szCs w:val="18"/>
        </w:rPr>
        <w:t>[20] E. Sediva, W. J. Bowman, J. C. Gonzalez-Rosillo, J. L. M. Rupp, Investigation of the Eightwise Switching Mechanism and Its Suppression in SrTiO</w:t>
      </w:r>
      <w:r>
        <w:rPr>
          <w:rFonts w:ascii="Arial" w:hAnsi="Arial" w:cs="Arial"/>
          <w:sz w:val="18"/>
          <w:szCs w:val="18"/>
          <w:vertAlign w:val="subscript"/>
        </w:rPr>
        <w:t>3</w:t>
      </w:r>
      <w:r>
        <w:rPr>
          <w:rFonts w:ascii="Arial" w:hAnsi="Arial" w:cs="Arial"/>
          <w:sz w:val="18"/>
          <w:szCs w:val="18"/>
        </w:rPr>
        <w:t xml:space="preserve"> Modulated by Humidity and Interchanged Top and Bottom Platinum and LaNiO</w:t>
      </w:r>
      <w:r>
        <w:rPr>
          <w:rFonts w:ascii="Arial" w:hAnsi="Arial" w:cs="Arial"/>
          <w:sz w:val="18"/>
          <w:szCs w:val="18"/>
          <w:vertAlign w:val="subscript"/>
        </w:rPr>
        <w:t>3</w:t>
      </w:r>
      <w:r>
        <w:rPr>
          <w:rFonts w:ascii="Arial" w:hAnsi="Arial" w:cs="Arial"/>
          <w:sz w:val="18"/>
          <w:szCs w:val="18"/>
        </w:rPr>
        <w:t xml:space="preserve"> Electrode Contacts. Advanced Electronic Materials 5, 1800566 (2019).</w:t>
      </w:r>
    </w:p>
    <w:p w14:paraId="4DCC6386" w14:textId="77777777" w:rsidR="00395E98" w:rsidRDefault="00395E98">
      <w:pPr>
        <w:spacing w:after="60"/>
        <w:ind w:hanging="480"/>
        <w:divId w:val="208340846"/>
        <w:rPr>
          <w:rFonts w:ascii="Arial" w:hAnsi="Arial" w:cs="Arial"/>
          <w:sz w:val="18"/>
          <w:szCs w:val="18"/>
        </w:rPr>
      </w:pPr>
      <w:r>
        <w:rPr>
          <w:rFonts w:ascii="Arial" w:hAnsi="Arial" w:cs="Arial"/>
          <w:sz w:val="18"/>
          <w:szCs w:val="18"/>
        </w:rPr>
        <w:t>[21] E. Mikheev, B. D. Hoskins, D. B. Strukov, S. Stemmer, Resistive switching and its suppression in Pt/Nb:SrTiO</w:t>
      </w:r>
      <w:r>
        <w:rPr>
          <w:rFonts w:ascii="Arial" w:hAnsi="Arial" w:cs="Arial"/>
          <w:sz w:val="18"/>
          <w:szCs w:val="18"/>
          <w:vertAlign w:val="subscript"/>
        </w:rPr>
        <w:t>3</w:t>
      </w:r>
      <w:r>
        <w:rPr>
          <w:rFonts w:ascii="Arial" w:hAnsi="Arial" w:cs="Arial"/>
          <w:sz w:val="18"/>
          <w:szCs w:val="18"/>
        </w:rPr>
        <w:t xml:space="preserve"> junctions. Nature Communications 5, 3990 (2014).</w:t>
      </w:r>
    </w:p>
    <w:p w14:paraId="3512D7BC" w14:textId="77777777" w:rsidR="00395E98" w:rsidRDefault="00395E98">
      <w:pPr>
        <w:spacing w:after="60"/>
        <w:ind w:hanging="480"/>
        <w:divId w:val="208340846"/>
        <w:rPr>
          <w:rFonts w:ascii="Arial" w:hAnsi="Arial" w:cs="Arial"/>
          <w:sz w:val="18"/>
          <w:szCs w:val="18"/>
        </w:rPr>
      </w:pPr>
      <w:r>
        <w:rPr>
          <w:rFonts w:ascii="Arial" w:hAnsi="Arial" w:cs="Arial"/>
          <w:sz w:val="18"/>
          <w:szCs w:val="18"/>
        </w:rPr>
        <w:t>[22] K.-H. Son, H.-S. Lee, Grain boundary effect on the resistive switching characteristics of SrTi</w:t>
      </w:r>
      <w:r>
        <w:rPr>
          <w:rFonts w:ascii="Arial" w:hAnsi="Arial" w:cs="Arial"/>
          <w:sz w:val="18"/>
          <w:szCs w:val="18"/>
          <w:vertAlign w:val="subscript"/>
        </w:rPr>
        <w:t>1-x</w:t>
      </w:r>
      <w:r>
        <w:rPr>
          <w:rFonts w:ascii="Arial" w:hAnsi="Arial" w:cs="Arial"/>
          <w:sz w:val="18"/>
          <w:szCs w:val="18"/>
        </w:rPr>
        <w:t>Fe</w:t>
      </w:r>
      <w:r>
        <w:rPr>
          <w:rFonts w:ascii="Arial" w:hAnsi="Arial" w:cs="Arial"/>
          <w:sz w:val="18"/>
          <w:szCs w:val="18"/>
          <w:vertAlign w:val="subscript"/>
        </w:rPr>
        <w:t>x</w:t>
      </w:r>
      <w:r>
        <w:rPr>
          <w:rFonts w:ascii="Arial" w:hAnsi="Arial" w:cs="Arial"/>
          <w:sz w:val="18"/>
          <w:szCs w:val="18"/>
        </w:rPr>
        <w:t>O</w:t>
      </w:r>
      <w:r>
        <w:rPr>
          <w:rFonts w:ascii="Arial" w:hAnsi="Arial" w:cs="Arial"/>
          <w:sz w:val="18"/>
          <w:szCs w:val="18"/>
          <w:vertAlign w:val="subscript"/>
        </w:rPr>
        <w:t>3</w:t>
      </w:r>
      <w:r>
        <w:rPr>
          <w:rFonts w:ascii="Arial" w:hAnsi="Arial" w:cs="Arial"/>
          <w:sz w:val="18"/>
          <w:szCs w:val="18"/>
        </w:rPr>
        <w:t xml:space="preserve"> directly patterned via photochemical organic-metal deposition. Applied Surface Science 575, 151754 (2022).</w:t>
      </w:r>
    </w:p>
    <w:p w14:paraId="2EEB08C9" w14:textId="77777777" w:rsidR="00395E98" w:rsidRDefault="00395E98">
      <w:pPr>
        <w:spacing w:after="60"/>
        <w:ind w:hanging="480"/>
        <w:divId w:val="208340846"/>
        <w:rPr>
          <w:rFonts w:ascii="Arial" w:hAnsi="Arial" w:cs="Arial"/>
          <w:sz w:val="18"/>
          <w:szCs w:val="18"/>
        </w:rPr>
      </w:pPr>
      <w:r>
        <w:rPr>
          <w:rFonts w:ascii="Arial" w:hAnsi="Arial" w:cs="Arial"/>
          <w:sz w:val="18"/>
          <w:szCs w:val="18"/>
        </w:rPr>
        <w:t>[23]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09BCD76C" w14:textId="77777777" w:rsidR="00395E98" w:rsidRDefault="00395E98">
      <w:pPr>
        <w:spacing w:after="60"/>
        <w:ind w:hanging="480"/>
        <w:divId w:val="208340846"/>
        <w:rPr>
          <w:rFonts w:ascii="Arial" w:hAnsi="Arial" w:cs="Arial"/>
          <w:sz w:val="18"/>
          <w:szCs w:val="18"/>
        </w:rPr>
      </w:pPr>
      <w:r>
        <w:rPr>
          <w:rFonts w:ascii="Arial" w:hAnsi="Arial" w:cs="Arial"/>
          <w:sz w:val="18"/>
          <w:szCs w:val="18"/>
        </w:rPr>
        <w:t>[24] A. Herpers, C. Lenser, C. Park, F. Offi, F. Borgatti, G. Panaccione, S. Menzel, R. Waser, R. Dittmann, Spectroscopic proof of the correlation between redox-state and charge-carrier transport at the interface of resistively switching Ti/PCMO devices. Advanced Materials 26, 2730–2735 (2014).</w:t>
      </w:r>
    </w:p>
    <w:p w14:paraId="2CA0F9E4" w14:textId="77777777" w:rsidR="00395E98" w:rsidRDefault="00395E98">
      <w:pPr>
        <w:spacing w:after="60"/>
        <w:ind w:hanging="480"/>
        <w:divId w:val="208340846"/>
        <w:rPr>
          <w:rFonts w:ascii="Arial" w:hAnsi="Arial" w:cs="Arial"/>
          <w:sz w:val="18"/>
          <w:szCs w:val="18"/>
        </w:rPr>
      </w:pPr>
      <w:r>
        <w:rPr>
          <w:rFonts w:ascii="Arial" w:hAnsi="Arial" w:cs="Arial"/>
          <w:sz w:val="18"/>
          <w:szCs w:val="18"/>
        </w:rPr>
        <w:t>[25] W. C. Chueh, C. Falter, M. Abbott, D. Scipio, P. Furler, S. M. Haile, A. Steinfeld, High-Flux Solar-Driven Thermochemical Dissociation of CO</w:t>
      </w:r>
      <w:r>
        <w:rPr>
          <w:rFonts w:ascii="Arial" w:hAnsi="Arial" w:cs="Arial"/>
          <w:sz w:val="18"/>
          <w:szCs w:val="18"/>
          <w:vertAlign w:val="subscript"/>
        </w:rPr>
        <w:t>2</w:t>
      </w:r>
      <w:r>
        <w:rPr>
          <w:rFonts w:ascii="Arial" w:hAnsi="Arial" w:cs="Arial"/>
          <w:sz w:val="18"/>
          <w:szCs w:val="18"/>
        </w:rPr>
        <w:t xml:space="preserve"> and H</w:t>
      </w:r>
      <w:r>
        <w:rPr>
          <w:rFonts w:ascii="Arial" w:hAnsi="Arial" w:cs="Arial"/>
          <w:sz w:val="18"/>
          <w:szCs w:val="18"/>
          <w:vertAlign w:val="subscript"/>
        </w:rPr>
        <w:t>2</w:t>
      </w:r>
      <w:r>
        <w:rPr>
          <w:rFonts w:ascii="Arial" w:hAnsi="Arial" w:cs="Arial"/>
          <w:sz w:val="18"/>
          <w:szCs w:val="18"/>
        </w:rPr>
        <w:t>O Using Nonstoichiometric Ceria. Science 330, 1797–1801 (2010).</w:t>
      </w:r>
    </w:p>
    <w:p w14:paraId="369F6763" w14:textId="77777777" w:rsidR="00395E98" w:rsidRDefault="00395E98">
      <w:pPr>
        <w:spacing w:after="60"/>
        <w:ind w:hanging="480"/>
        <w:divId w:val="208340846"/>
        <w:rPr>
          <w:rFonts w:ascii="Arial" w:hAnsi="Arial" w:cs="Arial"/>
          <w:sz w:val="18"/>
          <w:szCs w:val="18"/>
        </w:rPr>
      </w:pPr>
      <w:r>
        <w:rPr>
          <w:rFonts w:ascii="Arial" w:hAnsi="Arial" w:cs="Arial"/>
          <w:sz w:val="18"/>
          <w:szCs w:val="18"/>
        </w:rPr>
        <w:t>[26] D. N. Mueller, M. L. Machala, H. Bluhm, W. C. Chueh, Redox activity of surface oxygen anions in oxygen-deficient perovskite oxides during electrochemical reactions. Nature Communications 6, 6097 (2015).</w:t>
      </w:r>
    </w:p>
    <w:p w14:paraId="1C4E065A" w14:textId="77777777" w:rsidR="00395E98" w:rsidRDefault="00395E98">
      <w:pPr>
        <w:spacing w:after="60"/>
        <w:ind w:hanging="480"/>
        <w:divId w:val="208340846"/>
        <w:rPr>
          <w:rFonts w:ascii="Arial" w:hAnsi="Arial" w:cs="Arial"/>
          <w:sz w:val="18"/>
          <w:szCs w:val="18"/>
        </w:rPr>
      </w:pPr>
      <w:r>
        <w:rPr>
          <w:rFonts w:ascii="Arial" w:hAnsi="Arial" w:cs="Arial"/>
          <w:sz w:val="18"/>
          <w:szCs w:val="18"/>
        </w:rPr>
        <w:t>[27] C. Baeumer, J. Li, Q. Lu et al. (with W. C. Chueh), Tuning electrochemically driven surface transformation in atomically flat LaNiO</w:t>
      </w:r>
      <w:r>
        <w:rPr>
          <w:rFonts w:ascii="Arial" w:hAnsi="Arial" w:cs="Arial"/>
          <w:sz w:val="18"/>
          <w:szCs w:val="18"/>
          <w:vertAlign w:val="subscript"/>
        </w:rPr>
        <w:t>3</w:t>
      </w:r>
      <w:r>
        <w:rPr>
          <w:rFonts w:ascii="Arial" w:hAnsi="Arial" w:cs="Arial"/>
          <w:sz w:val="18"/>
          <w:szCs w:val="18"/>
        </w:rPr>
        <w:t xml:space="preserve"> thin films for enhanced water electrolysis. Nature Materials 20, 674–682 (2021).</w:t>
      </w:r>
    </w:p>
    <w:p w14:paraId="785665D0" w14:textId="77777777" w:rsidR="00395E98" w:rsidRDefault="00395E98">
      <w:pPr>
        <w:spacing w:after="60"/>
        <w:ind w:hanging="480"/>
        <w:divId w:val="208340846"/>
        <w:rPr>
          <w:rFonts w:ascii="Arial" w:hAnsi="Arial" w:cs="Arial"/>
          <w:sz w:val="18"/>
          <w:szCs w:val="18"/>
        </w:rPr>
      </w:pPr>
      <w:r>
        <w:rPr>
          <w:rFonts w:ascii="Arial" w:hAnsi="Arial" w:cs="Arial"/>
          <w:sz w:val="18"/>
          <w:szCs w:val="18"/>
        </w:rPr>
        <w:t>[28] M. Wuttig et al., Revisiting the Nature of Chemical Bonding in Chalcogenides to Explain and Design their Properties. Advanced Materials 35, 2208485 (2023).</w:t>
      </w:r>
    </w:p>
    <w:p>
      <w:pPr>
        <w:spacing w:after="60"/>
        <w:ind w:hanging="480"/>
        <w:divId w:val="208340846"/>
        <w:rPr>
          <w:rFonts w:ascii="Arial" w:hAnsi="Arial" w:cs="Arial"/>
          <w:sz w:val="18"/>
          <w:szCs w:val="18"/>
        </w:rPr>
      </w:pPr>
      <w:r>
        <w:rPr>
          <w:rFonts w:ascii="Arial" w:hAnsi="Arial" w:cs="Arial"/>
          <w:sz w:val="18"/>
          <w:szCs w:val="18"/>
        </w:rPr>
        <w:t xml:space="preserve">[29] A. Sarantopoulos, K. Lange, F. Rivadulla, S. Menzel, R. Dittmann, Resistive Switching Acceleration Induced by Thermal Confinement. Advanced Electronic Materials 11, 2400555 (2025).</w:t>
      </w:r>
    </w:p>
    <w:p>
      <w:pPr>
        <w:spacing w:after="60"/>
        <w:ind w:hanging="480"/>
        <w:divId w:val="208340846"/>
        <w:rPr>
          <w:rFonts w:ascii="Arial" w:hAnsi="Arial" w:cs="Arial"/>
          <w:sz w:val="18"/>
          <w:szCs w:val="18"/>
        </w:rPr>
      </w:pPr>
      <w:r>
        <w:rPr>
          <w:rFonts w:ascii="Arial" w:hAnsi="Arial" w:cs="Arial"/>
          <w:sz w:val="18"/>
          <w:szCs w:val="18"/>
        </w:rPr>
        <w:t xml:space="preserve">[30] M. Mladenović, M. Kaniselvan, C. Weilenmann, A. Emboras, M. Luisier, Termination-Dependent Resistive Switching in SrTiO3 Valence Change Memory Cells. ACS Applied Electronic Materials 7, 2839–2847 (2025).</w:t>
      </w:r>
    </w:p>
    <w:p>
      <w:pPr>
        <w:spacing w:after="60"/>
        <w:ind w:hanging="480"/>
        <w:divId w:val="208340846"/>
        <w:rPr>
          <w:rFonts w:ascii="Arial" w:hAnsi="Arial" w:cs="Arial"/>
          <w:sz w:val="18"/>
          <w:szCs w:val="18"/>
        </w:rPr>
      </w:pPr>
      <w:r>
        <w:rPr>
          <w:rFonts w:ascii="Arial" w:hAnsi="Arial" w:cs="Arial"/>
          <w:sz w:val="18"/>
          <w:szCs w:val="18"/>
        </w:rPr>
        <w:t xml:space="preserve">[31] K.-J. Lee, C.-H. Wu, C.-J. Lee, D.-W. Chou, N.-F. Wang, Y.-H. Wang, Reset-Voltage Controlled Resistance-State and Applications of Forming-Free Fe-Doped SrTiO3 Thin-Film Memristor. Materials 17, 5021 (2024).</w:t>
      </w:r>
    </w:p>
    <w:p w14:paraId="258CC278" w14:textId="77777777" w:rsidR="00395E98" w:rsidRDefault="00395E98">
      <w:pPr>
        <w:spacing w:after="60"/>
        <w:ind w:hanging="480"/>
        <w:divId w:val="208340846"/>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240D2A45" w14:textId="77777777" w:rsidR="00395E98" w:rsidRDefault="00395E98">
      <w:pPr>
        <w:spacing w:after="60"/>
        <w:ind w:hanging="480"/>
        <w:divId w:val="208340846"/>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281B6725" w14:textId="77777777" w:rsidR="00395E98" w:rsidRDefault="00395E98">
      <w:pPr>
        <w:spacing w:after="60"/>
        <w:ind w:hanging="480"/>
        <w:divId w:val="208340846"/>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3E50B442" w14:textId="77777777" w:rsidR="00395E98" w:rsidRDefault="00395E98">
      <w:pPr>
        <w:pStyle w:val="Heading1"/>
        <w:pageBreakBefore/>
        <w:rPr>
          <w:rFonts w:ascii="Arial" w:eastAsia="Times New Roman" w:hAnsi="Arial" w:cs="Arial"/>
        </w:rPr>
      </w:pPr>
      <w:r>
        <w:rPr>
          <w:rFonts w:ascii="Arial" w:eastAsia="Times New Roman" w:hAnsi="Arial" w:cs="Arial"/>
        </w:rPr>
        <w:t>Checklist of Further Application Documents (AvH online portal)</w:t>
      </w:r>
    </w:p>
    <w:tbl>
      <w:tblPr>
        <w:tblW w:w="5000" w:type="pct"/>
        <w:tblCellMar>
          <w:top w:w="15" w:type="dxa"/>
          <w:left w:w="15" w:type="dxa"/>
          <w:bottom w:w="15" w:type="dxa"/>
          <w:right w:w="15" w:type="dxa"/>
        </w:tblCellMar>
        <w:tblLook w:val="04A0" w:firstRow="1" w:lastRow="0" w:firstColumn="1" w:lastColumn="0" w:noHBand="0" w:noVBand="1"/>
      </w:tblPr>
      <w:tblGrid>
        <w:gridCol w:w="3804"/>
        <w:gridCol w:w="5252"/>
      </w:tblGrid>
      <w:tr w:rsidR="00000000" w14:paraId="6A54612B" w14:textId="77777777">
        <w:tc>
          <w:tcPr>
            <w:tcW w:w="2100" w:type="pct"/>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39201C32"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Document</w:t>
            </w:r>
          </w:p>
        </w:tc>
        <w:tc>
          <w:tcPr>
            <w:tcW w:w="0" w:type="auto"/>
            <w:tcBorders>
              <w:top w:val="single" w:sz="6" w:space="0" w:color="999999"/>
              <w:left w:val="single" w:sz="6" w:space="0" w:color="999999"/>
              <w:bottom w:val="single" w:sz="6" w:space="0" w:color="999999"/>
              <w:right w:val="single" w:sz="6" w:space="0" w:color="999999"/>
            </w:tcBorders>
            <w:shd w:val="clear" w:color="auto" w:fill="E7F0EA"/>
            <w:tcMar>
              <w:top w:w="60" w:type="dxa"/>
              <w:left w:w="100" w:type="dxa"/>
              <w:bottom w:w="60" w:type="dxa"/>
              <w:right w:w="100" w:type="dxa"/>
            </w:tcMar>
            <w:hideMark/>
          </w:tcPr>
          <w:p w14:paraId="1FE68A4D" w14:textId="77777777" w:rsidR="00395E98" w:rsidRDefault="00395E98">
            <w:pPr>
              <w:spacing w:before="120" w:after="200"/>
              <w:rPr>
                <w:rFonts w:ascii="Arial" w:eastAsia="Times New Roman" w:hAnsi="Arial" w:cs="Arial"/>
                <w:b/>
                <w:bCs/>
                <w:sz w:val="19"/>
                <w:szCs w:val="19"/>
              </w:rPr>
            </w:pPr>
            <w:r>
              <w:rPr>
                <w:rFonts w:ascii="Arial" w:eastAsia="Times New Roman" w:hAnsi="Arial" w:cs="Arial"/>
                <w:b/>
                <w:bCs/>
                <w:sz w:val="19"/>
                <w:szCs w:val="19"/>
              </w:rPr>
              <w:t>Status / note</w:t>
            </w:r>
          </w:p>
        </w:tc>
      </w:tr>
      <w:tr w:rsidR="00000000" w14:paraId="3009258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20AD7A"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Curriculum vitae (max. 2 pages)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ABE8A6"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Condense from CV_Max_Buczek; focus: doctorate, methodological profile, publications, supervision</w:t>
            </w:r>
          </w:p>
        </w:tc>
      </w:tr>
      <w:tr w:rsidR="00000000" w14:paraId="538077E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F0DA25"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Research proposal (max. 5 pages)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EDA930"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 xml:space="preserve">This exposé – </w:t>
            </w:r>
            <w:r>
              <w:rPr>
                <w:rFonts w:ascii="Arial" w:eastAsia="Times New Roman" w:hAnsi="Arial" w:cs="Arial"/>
                <w:b/>
                <w:bCs/>
                <w:sz w:val="19"/>
                <w:szCs w:val="19"/>
              </w:rPr>
              <w:t>coordinate with Prof. Chueh before submission</w:t>
            </w:r>
            <w:r>
              <w:rPr>
                <w:rFonts w:ascii="Arial" w:eastAsia="Times New Roman" w:hAnsi="Arial" w:cs="Arial"/>
                <w:sz w:val="19"/>
                <w:szCs w:val="19"/>
              </w:rPr>
              <w:t xml:space="preserve"> (AvH requirement: independently developed, coordinated with the host)</w:t>
            </w:r>
          </w:p>
        </w:tc>
      </w:tr>
      <w:tr w:rsidR="00000000" w14:paraId="7E53D9A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855847"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Complete list of publications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0985078"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Incl. conference contributions and patent application</w:t>
            </w:r>
          </w:p>
        </w:tc>
      </w:tr>
      <w:tr w:rsidR="00000000" w14:paraId="60303B7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D2704D"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1–3 key publications with justification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2B2B7E"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Recommendation: Chem. Rev. 2025 (command of the field, first author), Adv. Electron. Mater. 2026 (device innovation), Thin Solid Films 2024 (PLD methodology)</w:t>
            </w:r>
          </w:p>
        </w:tc>
      </w:tr>
      <w:tr w:rsidR="00000000" w14:paraId="2D4E545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654082"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Doctoral certificate / proof</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6888A2"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If applying before completion: declaration that the dissertation will be submitted within 6 months</w:t>
            </w:r>
          </w:p>
        </w:tc>
      </w:tr>
      <w:tr w:rsidR="00000000" w14:paraId="0804315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057A5F"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Host’s statement + confirmation of research place (incl. mentoring agreement and co-funding commitment)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A346B46"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Prof. Chueh uploads directly to the AvH portal; raise the host contribution (approx. 1/3 of the fellowship; USA is a contributing country) early</w:t>
            </w:r>
          </w:p>
        </w:tc>
      </w:tr>
      <w:tr w:rsidR="00000000" w14:paraId="65DA859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E50F47"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Two expert reviews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87CD45" w14:textId="77777777" w:rsidR="00395E98" w:rsidRDefault="00395E98">
            <w:pPr>
              <w:spacing w:before="120" w:after="200"/>
              <w:rPr>
                <w:rFonts w:ascii="Arial" w:eastAsia="Times New Roman" w:hAnsi="Arial" w:cs="Arial"/>
                <w:sz w:val="19"/>
                <w:szCs w:val="19"/>
              </w:rPr>
            </w:pPr>
            <w:r>
              <w:rPr>
                <w:rFonts w:ascii="Arial" w:eastAsia="Times New Roman" w:hAnsi="Arial" w:cs="Arial"/>
                <w:sz w:val="19"/>
                <w:szCs w:val="19"/>
              </w:rPr>
              <w:t>Recommendation: Prof. R. Dittmann (doctoral supervisor) + one external, preferably international referee [e.g. from the NeuroSys consortium or the E-MRS environment]</w:t>
            </w:r>
          </w:p>
        </w:tc>
      </w:tr>
    </w:tbl>
    <w:p w14:paraId="0B42D9AE" w14:textId="77777777" w:rsidR="00395E98" w:rsidRDefault="00395E98">
      <w:pPr>
        <w:pStyle w:val="Heading2"/>
        <w:rPr>
          <w:rFonts w:ascii="Arial" w:eastAsia="Times New Roman" w:hAnsi="Arial" w:cs="Arial"/>
        </w:rPr>
      </w:pPr>
      <w:r>
        <w:rPr>
          <w:rFonts w:ascii="Arial" w:eastAsia="Times New Roman" w:hAnsi="Arial" w:cs="Arial"/>
        </w:rPr>
        <w:t>Fellowship benefits (for orientation, as of 2026)</w:t>
      </w:r>
    </w:p>
    <w:p w14:paraId="1EA59F10" w14:textId="77777777" w:rsidR="00395E98" w:rsidRDefault="00395E98">
      <w:pPr>
        <w:pStyle w:val="NormalWeb"/>
        <w:rPr>
          <w:rFonts w:ascii="Arial" w:hAnsi="Arial" w:cs="Arial"/>
          <w:sz w:val="21"/>
          <w:szCs w:val="21"/>
        </w:rPr>
      </w:pPr>
      <w:r>
        <w:rPr>
          <w:rFonts w:ascii="Arial" w:hAnsi="Arial" w:cs="Arial"/>
          <w:sz w:val="21"/>
          <w:szCs w:val="21"/>
        </w:rPr>
        <w:t>Base fellowship € 2,187.50/month (minus host contribution) + foreign allowance USA (€ 1,892 single or € 2,528–2,807 with family) + research cost allowance € 312.50/month + travel lump sums; family benefits (partner allowance € 205, child allowance € 400/100); afterwards optionally the Feodor Lynen Return Fellowship (up to 12 months, € 3,600/month) to bridge until group funding. Applications accepted at any time; selection meetings February/June/October; success rate approx. 40 %.</w:t>
      </w:r>
    </w:p>
    <w:sectPr w:rsidR="00395E9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7138"/>
    <w:rsid w:val="00395E98"/>
    <w:rsid w:val="00A57138"/>
    <w:rsid w:val="00EA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214FE"/>
  <w15:chartTrackingRefBased/>
  <w15:docId w15:val="{BB5A59F6-5B9F-42F9-ADC0-9A266EB6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A5632"/>
      <w:kern w:val="36"/>
      <w:sz w:val="28"/>
      <w:szCs w:val="28"/>
    </w:rPr>
  </w:style>
  <w:style w:type="paragraph" w:styleId="Heading2">
    <w:name w:val="heading 2"/>
    <w:basedOn w:val="Normal"/>
    <w:link w:val="Heading2Char"/>
    <w:uiPriority w:val="9"/>
    <w:qFormat/>
    <w:pPr>
      <w:spacing w:before="260" w:after="120"/>
      <w:outlineLvl w:val="1"/>
    </w:pPr>
    <w:rPr>
      <w:b/>
      <w:bCs/>
      <w:color w:val="1A5632"/>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084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2937</Words>
  <Characters>16746</Characters>
  <Application>Microsoft Office Word</Application>
  <DocSecurity>4</DocSecurity>
  <Lines>139</Lines>
  <Paragraphs>39</Paragraphs>
  <ScaleCrop>false</ScaleCrop>
  <Company/>
  <LinksUpToDate>false</LinksUpToDate>
  <CharactersWithSpaces>19644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Feodor Lynen Research Fellowship - Application Buczek (English)</dc:title>
  <dc:subject/>
  <dc:creator>Buczek, Max</dc:creator>
  <cp:keywords/>
  <dc:description/>
  <cp:lastModifiedBy>Buczek, Max</cp:lastModifiedBy>
  <cp:revision>2</cp:revision>
  <dcterms:created xsi:type="dcterms:W3CDTF">2026-08-09T13:55:00Z</dcterms:created>
  <dcterms:modified xsi:type="dcterms:W3CDTF">2026-08-09T13:55:00Z</dcterms:modified>
</cp:coreProperties>
</file>