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A8796" w14:textId="77777777" w:rsidR="008E5A22" w:rsidRDefault="008E5A22">
      <w:pPr>
        <w:pStyle w:val="NormalWeb"/>
        <w:jc w:val="right"/>
        <w:rPr>
          <w:rFonts w:ascii="Arial" w:hAnsi="Arial" w:cs="Arial"/>
          <w:color w:val="555555"/>
          <w:sz w:val="21"/>
          <w:szCs w:val="21"/>
        </w:rPr>
      </w:pPr>
      <w:r>
        <w:rPr>
          <w:rFonts w:ascii="Arial" w:hAnsi="Arial" w:cs="Arial"/>
          <w:color w:val="555555"/>
          <w:sz w:val="21"/>
          <w:szCs w:val="21"/>
        </w:rPr>
        <w:t>Alexander von Humboldt Foundation – Feodor Lynen Research Fellowship for Postdoctoral Researchers</w:t>
      </w:r>
    </w:p>
    <w:p w14:paraId="5B803239" w14:textId="77777777" w:rsidR="008E5A22" w:rsidRDefault="008E5A22">
      <w:pPr>
        <w:pStyle w:val="NormalWeb"/>
        <w:rPr>
          <w:rFonts w:ascii="Arial" w:hAnsi="Arial" w:cs="Arial"/>
          <w:sz w:val="21"/>
          <w:szCs w:val="21"/>
        </w:rPr>
      </w:pPr>
      <w:r>
        <w:rPr>
          <w:rFonts w:ascii="Arial" w:hAnsi="Arial" w:cs="Arial"/>
          <w:sz w:val="21"/>
          <w:szCs w:val="21"/>
        </w:rPr>
        <w:t> </w:t>
      </w:r>
    </w:p>
    <w:p w14:paraId="60139F67" w14:textId="77777777" w:rsidR="008E5A22" w:rsidRDefault="008E5A22">
      <w:pPr>
        <w:pStyle w:val="NormalWeb"/>
        <w:rPr>
          <w:rFonts w:ascii="Arial" w:hAnsi="Arial" w:cs="Arial"/>
          <w:sz w:val="21"/>
          <w:szCs w:val="21"/>
        </w:rPr>
      </w:pPr>
      <w:r>
        <w:rPr>
          <w:rFonts w:ascii="Arial" w:hAnsi="Arial" w:cs="Arial"/>
          <w:sz w:val="21"/>
          <w:szCs w:val="21"/>
        </w:rPr>
        <w:t> </w:t>
      </w:r>
    </w:p>
    <w:p w14:paraId="6BD7256E" w14:textId="77777777" w:rsidR="008E5A22" w:rsidRDefault="008E5A22">
      <w:pPr>
        <w:pStyle w:val="NormalWeb"/>
        <w:rPr>
          <w:rFonts w:ascii="Arial" w:hAnsi="Arial" w:cs="Arial"/>
          <w:sz w:val="21"/>
          <w:szCs w:val="21"/>
        </w:rPr>
      </w:pPr>
      <w:r>
        <w:rPr>
          <w:rFonts w:ascii="Arial" w:hAnsi="Arial" w:cs="Arial"/>
          <w:sz w:val="21"/>
          <w:szCs w:val="21"/>
        </w:rPr>
        <w:t> </w:t>
      </w:r>
    </w:p>
    <w:p w14:paraId="37C3E632" w14:textId="77777777" w:rsidR="008E5A22" w:rsidRDefault="008E5A22">
      <w:pPr>
        <w:pStyle w:val="center"/>
        <w:spacing w:before="0" w:beforeAutospacing="0" w:after="140"/>
        <w:rPr>
          <w:rFonts w:ascii="Arial" w:hAnsi="Arial" w:cs="Arial"/>
          <w:sz w:val="30"/>
          <w:szCs w:val="30"/>
        </w:rPr>
      </w:pPr>
      <w:r>
        <w:rPr>
          <w:rFonts w:ascii="Arial" w:hAnsi="Arial" w:cs="Arial"/>
          <w:b/>
          <w:bCs/>
          <w:sz w:val="30"/>
          <w:szCs w:val="30"/>
        </w:rPr>
        <w:t>Application for a Feodor Lynen Research Fellowship</w:t>
      </w:r>
    </w:p>
    <w:p w14:paraId="7162E21B" w14:textId="77777777" w:rsidR="008E5A22" w:rsidRDefault="008E5A22">
      <w:pPr>
        <w:pStyle w:val="NormalWeb"/>
        <w:rPr>
          <w:rFonts w:ascii="Arial" w:hAnsi="Arial" w:cs="Arial"/>
          <w:sz w:val="21"/>
          <w:szCs w:val="21"/>
        </w:rPr>
      </w:pPr>
      <w:r>
        <w:rPr>
          <w:rFonts w:ascii="Arial" w:hAnsi="Arial" w:cs="Arial"/>
          <w:sz w:val="21"/>
          <w:szCs w:val="21"/>
        </w:rPr>
        <w:t> </w:t>
      </w:r>
    </w:p>
    <w:p w14:paraId="79890CC2" w14:textId="77777777" w:rsidR="008E5A22" w:rsidRDefault="008E5A22">
      <w:pPr>
        <w:pStyle w:val="center"/>
        <w:spacing w:before="0" w:beforeAutospacing="0" w:after="140"/>
        <w:rPr>
          <w:rFonts w:ascii="Arial" w:hAnsi="Arial" w:cs="Arial"/>
          <w:sz w:val="26"/>
          <w:szCs w:val="26"/>
        </w:rPr>
      </w:pPr>
      <w:r>
        <w:rPr>
          <w:rFonts w:ascii="Arial" w:hAnsi="Arial" w:cs="Arial"/>
          <w:b/>
          <w:bCs/>
          <w:sz w:val="26"/>
          <w:szCs w:val="26"/>
        </w:rPr>
        <w:t>Covalency as an Experimental Descriptor of Memristive Switching: the Pr</w:t>
      </w:r>
      <w:r>
        <w:rPr>
          <w:rFonts w:ascii="Arial" w:hAnsi="Arial" w:cs="Arial"/>
          <w:b/>
          <w:bCs/>
          <w:sz w:val="26"/>
          <w:szCs w:val="26"/>
          <w:vertAlign w:val="subscript"/>
        </w:rPr>
        <w:t>1-x</w:t>
      </w:r>
      <w:r>
        <w:rPr>
          <w:rFonts w:ascii="Arial" w:hAnsi="Arial" w:cs="Arial"/>
          <w:b/>
          <w:bCs/>
          <w:sz w:val="26"/>
          <w:szCs w:val="26"/>
        </w:rPr>
        <w:t>Ca</w:t>
      </w:r>
      <w:r>
        <w:rPr>
          <w:rFonts w:ascii="Arial" w:hAnsi="Arial" w:cs="Arial"/>
          <w:b/>
          <w:bCs/>
          <w:sz w:val="26"/>
          <w:szCs w:val="26"/>
          <w:vertAlign w:val="subscript"/>
        </w:rPr>
        <w:t>x</w:t>
      </w:r>
      <w:r>
        <w:rPr>
          <w:rFonts w:ascii="Arial" w:hAnsi="Arial" w:cs="Arial"/>
          <w:b/>
          <w:bCs/>
          <w:sz w:val="26"/>
          <w:szCs w:val="26"/>
        </w:rPr>
        <w:t>MnO</w:t>
      </w:r>
      <w:r>
        <w:rPr>
          <w:rFonts w:ascii="Arial" w:hAnsi="Arial" w:cs="Arial"/>
          <w:b/>
          <w:bCs/>
          <w:sz w:val="26"/>
          <w:szCs w:val="26"/>
          <w:vertAlign w:val="subscript"/>
        </w:rPr>
        <w:t>3</w:t>
      </w:r>
      <w:r>
        <w:rPr>
          <w:rFonts w:ascii="Arial" w:hAnsi="Arial" w:cs="Arial"/>
          <w:b/>
          <w:bCs/>
          <w:sz w:val="26"/>
          <w:szCs w:val="26"/>
        </w:rPr>
        <w:t xml:space="preserve"> Model Series</w:t>
      </w:r>
    </w:p>
    <w:p w14:paraId="19BB5E7F" w14:textId="77777777" w:rsidR="008E5A22" w:rsidRDefault="008E5A22">
      <w:pPr>
        <w:pStyle w:val="NormalWeb"/>
        <w:rPr>
          <w:rFonts w:ascii="Arial" w:hAnsi="Arial" w:cs="Arial"/>
          <w:sz w:val="21"/>
          <w:szCs w:val="21"/>
        </w:rPr>
      </w:pPr>
      <w:r>
        <w:rPr>
          <w:rFonts w:ascii="Arial" w:hAnsi="Arial" w:cs="Arial"/>
          <w:sz w:val="21"/>
          <w:szCs w:val="21"/>
        </w:rPr>
        <w:t> </w:t>
      </w:r>
    </w:p>
    <w:p w14:paraId="4424F6E4" w14:textId="77777777" w:rsidR="008E5A22" w:rsidRDefault="008E5A2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C50C01" w14:paraId="74384540"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2070FA"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9B1317"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Dr. Max Buczek, Postdoctoral Researcher, Peter Grünberg Institute (PGI-7), Forschungszentrum Jülich, Germany</w:t>
            </w:r>
          </w:p>
        </w:tc>
      </w:tr>
      <w:tr w:rsidR="00C50C01" w14:paraId="2855AC5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C597AB"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Host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5858DC"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Prof. Dr. William C. Chueh, Department of Materials Science and Engineering, Stanford University, USA – Friedrich Wilhelm Bessel Research Award winner of the AvH Foundation (2021), member of the Humboldt Network</w:t>
            </w:r>
          </w:p>
        </w:tc>
      </w:tr>
      <w:tr w:rsidR="00C50C01" w14:paraId="050C64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C06255"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895EF2"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Stanford University / SLAC National Accelerator Laboratory (Stanford Synchrotron Radiation Lightsource, SSRL)</w:t>
            </w:r>
          </w:p>
        </w:tc>
      </w:tr>
      <w:tr w:rsidR="00C50C01" w14:paraId="13962F9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80DBE2"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803C4D"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24 months, starting [e.g. Q2/2027; fellowship must begin 2–12 months after the selection meeting]</w:t>
            </w:r>
          </w:p>
        </w:tc>
      </w:tr>
      <w:tr w:rsidR="00C50C01" w14:paraId="2C01BA0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AC70A0"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Programme 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696985"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Postdoctoral researchers (doctorate 2026, i.e. within the four-year window)</w:t>
            </w:r>
          </w:p>
        </w:tc>
      </w:tr>
      <w:tr w:rsidR="00C50C01" w14:paraId="4228731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4B8167"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Targeted selection round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B02FD9"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[February/June/October; submission recommended 4–7 months in advance]</w:t>
            </w:r>
          </w:p>
        </w:tc>
      </w:tr>
    </w:tbl>
    <w:p w14:paraId="24D442B3" w14:textId="77777777" w:rsidR="008E5A22" w:rsidRDefault="008E5A22">
      <w:pPr>
        <w:pStyle w:val="NormalWeb"/>
        <w:rPr>
          <w:rFonts w:ascii="Arial" w:hAnsi="Arial" w:cs="Arial"/>
          <w:sz w:val="21"/>
          <w:szCs w:val="21"/>
        </w:rPr>
      </w:pPr>
      <w:r>
        <w:rPr>
          <w:rFonts w:ascii="Arial" w:hAnsi="Arial" w:cs="Arial"/>
          <w:sz w:val="21"/>
          <w:szCs w:val="21"/>
        </w:rPr>
        <w:t> </w:t>
      </w:r>
    </w:p>
    <w:p w14:paraId="7E0FA4D7" w14:textId="77777777" w:rsidR="008E5A22" w:rsidRDefault="008E5A22">
      <w:pPr>
        <w:pStyle w:val="muted"/>
        <w:spacing w:before="0" w:beforeAutospacing="0" w:after="140"/>
        <w:rPr>
          <w:rFonts w:ascii="Arial" w:hAnsi="Arial" w:cs="Arial"/>
        </w:rPr>
      </w:pPr>
      <w:r>
        <w:rPr>
          <w:rFonts w:ascii="Arial" w:hAnsi="Arial" w:cs="Arial"/>
        </w:rPr>
        <w:t>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w:t>
      </w:r>
    </w:p>
    <w:p w14:paraId="3933C7D0" w14:textId="77777777" w:rsidR="008E5A22" w:rsidRDefault="008E5A22">
      <w:pPr>
        <w:pStyle w:val="Heading1"/>
        <w:pageBreakBefore/>
        <w:rPr>
          <w:rFonts w:ascii="Arial" w:eastAsia="Times New Roman" w:hAnsi="Arial" w:cs="Arial"/>
        </w:rPr>
      </w:pPr>
      <w:r>
        <w:rPr>
          <w:rFonts w:ascii="Arial" w:eastAsia="Times New Roman" w:hAnsi="Arial" w:cs="Arial"/>
        </w:rPr>
        <w:lastRenderedPageBreak/>
        <w:t>Research Proposal (Exposé)</w:t>
      </w:r>
    </w:p>
    <w:p w14:paraId="12854C35" w14:textId="77777777" w:rsidR="008E5A22" w:rsidRDefault="008E5A22">
      <w:pPr>
        <w:pStyle w:val="Heading2"/>
        <w:rPr>
          <w:rFonts w:ascii="Arial" w:eastAsia="Times New Roman" w:hAnsi="Arial" w:cs="Arial"/>
        </w:rPr>
      </w:pPr>
      <w:r>
        <w:rPr>
          <w:rFonts w:ascii="Arial" w:eastAsia="Times New Roman" w:hAnsi="Arial" w:cs="Arial"/>
        </w:rPr>
        <w:t>1  Research question and scientific significance</w:t>
      </w:r>
    </w:p>
    <w:p w14:paraId="1EC95856" w14:textId="77777777" w:rsidR="008E5A22" w:rsidRDefault="008E5A22">
      <w:pPr>
        <w:pStyle w:val="NormalWeb"/>
        <w:rPr>
          <w:rFonts w:ascii="Arial" w:hAnsi="Arial" w:cs="Arial"/>
          <w:sz w:val="21"/>
          <w:szCs w:val="21"/>
        </w:rPr>
      </w:pPr>
      <w:r>
        <w:rPr>
          <w:rFonts w:ascii="Arial" w:hAnsi="Arial" w:cs="Arial"/>
          <w:sz w:val="21"/>
          <w:szCs w:val="21"/>
        </w:rPr>
        <w:t>Memristive devices based on the valence change mechanism (VCM) switch their resistance through field-driven creation and migration of oxygen vacancies (V</w:t>
      </w:r>
      <w:r>
        <w:rPr>
          <w:rFonts w:ascii="Arial" w:hAnsi="Arial" w:cs="Arial"/>
          <w:sz w:val="21"/>
          <w:szCs w:val="21"/>
          <w:vertAlign w:val="subscript"/>
        </w:rPr>
        <w:t>O</w:t>
      </w:r>
      <w:r>
        <w:rPr>
          <w:rFonts w:ascii="Arial" w:hAnsi="Arial" w:cs="Arial"/>
          <w:sz w:val="21"/>
          <w:szCs w:val="21"/>
        </w:rPr>
        <w:t>) [1–3]. The oxygen-vacancy formation energy (E</w:t>
      </w:r>
      <w:r>
        <w:rPr>
          <w:rFonts w:ascii="Arial" w:hAnsi="Arial" w:cs="Arial"/>
          <w:sz w:val="21"/>
          <w:szCs w:val="21"/>
          <w:vertAlign w:val="subscript"/>
        </w:rPr>
        <w:t>V</w:t>
      </w:r>
      <w:r>
        <w:rPr>
          <w:rFonts w:ascii="Arial" w:hAnsi="Arial" w:cs="Arial"/>
          <w:sz w:val="21"/>
          <w:szCs w:val="21"/>
        </w:rPr>
        <w:t>) enters all quantitative switching models exponentially [3, 4] – and yet it has never been measured systematically how E</w:t>
      </w:r>
      <w:r>
        <w:rPr>
          <w:rFonts w:ascii="Arial" w:hAnsi="Arial" w:cs="Arial"/>
          <w:sz w:val="21"/>
          <w:szCs w:val="21"/>
          <w:vertAlign w:val="subscript"/>
        </w:rPr>
        <w:t>V</w:t>
      </w:r>
      <w:r>
        <w:rPr>
          <w:rFonts w:ascii="Arial" w:hAnsi="Arial" w:cs="Arial"/>
          <w:sz w:val="21"/>
          <w:szCs w:val="21"/>
        </w:rPr>
        <w:t xml:space="preserve"> determines the central figures of merit (ON/OFF ratio, forming voltage, retention). Energy research, by contrast, has quantitatively established that E</w:t>
      </w:r>
      <w:r>
        <w:rPr>
          <w:rFonts w:ascii="Arial" w:hAnsi="Arial" w:cs="Arial"/>
          <w:sz w:val="21"/>
          <w:szCs w:val="21"/>
          <w:vertAlign w:val="subscript"/>
        </w:rPr>
        <w:t>V</w:t>
      </w:r>
      <w:r>
        <w:rPr>
          <w:rFonts w:ascii="Arial" w:hAnsi="Arial" w:cs="Arial"/>
          <w:sz w:val="21"/>
          <w:szCs w:val="21"/>
        </w:rPr>
        <w:t xml:space="preserve"> in perovskites is controlled by the metal–oxygen covalency: the O-2p band centre scales linearly with E</w:t>
      </w:r>
      <w:r>
        <w:rPr>
          <w:rFonts w:ascii="Arial" w:hAnsi="Arial" w:cs="Arial"/>
          <w:sz w:val="21"/>
          <w:szCs w:val="21"/>
          <w:vertAlign w:val="subscript"/>
        </w:rPr>
        <w:t>V</w:t>
      </w:r>
      <w:r>
        <w:rPr>
          <w:rFonts w:ascii="Arial" w:hAnsi="Arial" w:cs="Arial"/>
          <w:sz w:val="21"/>
          <w:szCs w:val="21"/>
        </w:rPr>
        <w:t xml:space="preserve"> and serves as a descriptor for catalysis and oxygen transport [5–8]. My project connects these two worlds experimentally for the first time – using the model series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best-documented perovskite memristor family.</w:t>
      </w:r>
    </w:p>
    <w:p w14:paraId="2D4E8EDF" w14:textId="77777777" w:rsidR="008E5A22" w:rsidRDefault="008E5A22">
      <w:pPr>
        <w:pStyle w:val="NormalWeb"/>
        <w:rPr>
          <w:rFonts w:ascii="Arial" w:hAnsi="Arial" w:cs="Arial"/>
          <w:sz w:val="21"/>
          <w:szCs w:val="21"/>
        </w:rPr>
      </w:pPr>
      <w:r>
        <w:rPr>
          <w:rFonts w:ascii="Arial" w:hAnsi="Arial" w:cs="Arial"/>
          <w:sz w:val="21"/>
          <w:szCs w:val="21"/>
        </w:rPr>
        <w:t xml:space="preserve">PCMO is the ideal test system for a </w:t>
      </w:r>
      <w:r>
        <w:rPr>
          <w:rFonts w:ascii="Arial" w:hAnsi="Arial" w:cs="Arial"/>
          <w:i/>
          <w:iCs/>
          <w:sz w:val="21"/>
          <w:szCs w:val="21"/>
        </w:rPr>
        <w:t>clean</w:t>
      </w:r>
      <w:r>
        <w:rPr>
          <w:rFonts w:ascii="Arial" w:hAnsi="Arial" w:cs="Arial"/>
          <w:sz w:val="21"/>
          <w:szCs w:val="21"/>
        </w:rPr>
        <w:t xml:space="preserve"> covalency study, for three reasons. </w:t>
      </w:r>
      <w:r>
        <w:rPr>
          <w:rFonts w:ascii="Arial" w:hAnsi="Arial" w:cs="Arial"/>
          <w:b/>
          <w:bCs/>
          <w:sz w:val="21"/>
          <w:szCs w:val="21"/>
        </w:rPr>
        <w:t>(i) The covalency axis is established:</w:t>
      </w:r>
      <w:r>
        <w:rPr>
          <w:rFonts w:ascii="Arial" w:hAnsi="Arial" w:cs="Arial"/>
          <w:sz w:val="21"/>
          <w:szCs w:val="21"/>
        </w:rPr>
        <w:t xml:space="preserve"> Ca</w:t>
      </w:r>
      <w:r>
        <w:rPr>
          <w:rFonts w:ascii="Arial" w:hAnsi="Arial" w:cs="Arial"/>
          <w:sz w:val="21"/>
          <w:szCs w:val="21"/>
          <w:vertAlign w:val="superscript"/>
        </w:rPr>
        <w:t>2+</w:t>
      </w:r>
      <w:r>
        <w:rPr>
          <w:rFonts w:ascii="Arial" w:hAnsi="Arial" w:cs="Arial"/>
          <w:sz w:val="21"/>
          <w:szCs w:val="21"/>
        </w:rPr>
        <w:t xml:space="preserve"> substitution dopes holes with substantial O-2p character into the mixed-valent Mn</w:t>
      </w:r>
      <w:r>
        <w:rPr>
          <w:rFonts w:ascii="Arial" w:hAnsi="Arial" w:cs="Arial"/>
          <w:sz w:val="21"/>
          <w:szCs w:val="21"/>
          <w:vertAlign w:val="superscript"/>
        </w:rPr>
        <w:t>3+</w:t>
      </w:r>
      <w:r>
        <w:rPr>
          <w:rFonts w:ascii="Arial" w:hAnsi="Arial" w:cs="Arial"/>
          <w:sz w:val="21"/>
          <w:szCs w:val="21"/>
        </w:rPr>
        <w:t>/Mn</w:t>
      </w:r>
      <w:r>
        <w:rPr>
          <w:rFonts w:ascii="Arial" w:hAnsi="Arial" w:cs="Arial"/>
          <w:sz w:val="21"/>
          <w:szCs w:val="21"/>
          <w:vertAlign w:val="superscript"/>
        </w:rPr>
        <w:t>4+</w:t>
      </w:r>
      <w:r>
        <w:rPr>
          <w:rFonts w:ascii="Arial" w:hAnsi="Arial" w:cs="Arial"/>
          <w:sz w:val="21"/>
          <w:szCs w:val="21"/>
        </w:rPr>
        <w:t xml:space="preserve"> system; the resulting increase of Mn3d–O2p hybridisation with x is directly measurable at the O-K edge and has recently been quantified across the PCMO series in the electrocatalysis context [9] – precisely the descriptor knowledge this project transfers to memristive switching, with the classic manganite X-ray absorption literature as calibration base [10, 11]. </w:t>
      </w:r>
      <w:r>
        <w:rPr>
          <w:rFonts w:ascii="Arial" w:hAnsi="Arial" w:cs="Arial"/>
          <w:b/>
          <w:bCs/>
          <w:sz w:val="21"/>
          <w:szCs w:val="21"/>
        </w:rPr>
        <w:t>(ii) The switching axis is established:</w:t>
      </w:r>
      <w:r>
        <w:rPr>
          <w:rFonts w:ascii="Arial" w:hAnsi="Arial" w:cs="Arial"/>
          <w:sz w:val="21"/>
          <w:szCs w:val="21"/>
        </w:rPr>
        <w:t xml:space="preserve"> PCMO delivered the first perovskite ReRAM demonstrations [12, 13], its interface redox mechanism is spectroscopically proven [14], and the field is comprehensively mapped in my first-author Chemical Reviews article [E2] and the recent manganite device review [22]. Crucially, the </w:t>
      </w:r>
      <w:r>
        <w:rPr>
          <w:rFonts w:ascii="Arial" w:hAnsi="Arial" w:cs="Arial"/>
          <w:i/>
          <w:iCs/>
          <w:sz w:val="21"/>
          <w:szCs w:val="21"/>
        </w:rPr>
        <w:t>only complete composition-resolved switching study in the entire perovskite ReRAM literature</w:t>
      </w:r>
      <w:r>
        <w:rPr>
          <w:rFonts w:ascii="Arial" w:hAnsi="Arial" w:cs="Arial"/>
          <w:sz w:val="21"/>
          <w:szCs w:val="21"/>
        </w:rPr>
        <w:t xml:space="preserve"> exists for PCMO: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Ca range and found a pronounced maximum of the switching ratio at x ≈ 0.4, with switching disappearing for x &gt; 0.8 [16] – a striking result that has remained without a materials-descriptor explanation for over fifteen years. </w:t>
      </w:r>
      <w:r>
        <w:rPr>
          <w:rFonts w:ascii="Arial" w:hAnsi="Arial" w:cs="Arial"/>
          <w:b/>
          <w:bCs/>
          <w:sz w:val="21"/>
          <w:szCs w:val="21"/>
        </w:rPr>
        <w:t>(iii) The mechanism is stable across the series:</w:t>
      </w:r>
      <w:r>
        <w:rPr>
          <w:rFonts w:ascii="Arial" w:hAnsi="Arial" w:cs="Arial"/>
          <w:sz w:val="21"/>
          <w:szCs w:val="21"/>
        </w:rPr>
        <w:t xml:space="preserve"> PCMO remains a perovskite and stays insulating over the entire doping range (narrow bandwidth) – no topotactic brownmillerite transition and no metal–insulator transition interferes, in deliberate contrast to the ferrite and cobaltite families, where the switching mechanism itself changes with doping. Covalency thus remains the truly isolated variable. My central hypothesis: the Asanuma optimum </w:t>
      </w:r>
      <w:r>
        <w:rPr>
          <w:rFonts w:ascii="Arial" w:hAnsi="Arial" w:cs="Arial"/>
          <w:i/>
          <w:iCs/>
          <w:sz w:val="21"/>
          <w:szCs w:val="21"/>
        </w:rPr>
        <w:t>is</w:t>
      </w:r>
      <w:r>
        <w:rPr>
          <w:rFonts w:ascii="Arial" w:hAnsi="Arial" w:cs="Arial"/>
          <w:sz w:val="21"/>
          <w:szCs w:val="21"/>
        </w:rPr>
        <w:t xml:space="preserve"> the covalency optimum (“Goldilocks zone”) – and its position can be predicted from an experimentally measured XAS covalency descriptor. This project adds the missing descriptor axis to the established switching axis; related composition series [15, 17, 23] serve as consistency checks.</w:t>
      </w:r>
    </w:p>
    <w:p w14:paraId="39CBBA42" w14:textId="77777777" w:rsidR="008E5A22" w:rsidRDefault="008E5A22">
      <w:pPr>
        <w:pStyle w:val="Heading2"/>
        <w:rPr>
          <w:rFonts w:ascii="Arial" w:eastAsia="Times New Roman" w:hAnsi="Arial" w:cs="Arial"/>
        </w:rPr>
      </w:pPr>
      <w:r>
        <w:rPr>
          <w:rFonts w:ascii="Arial" w:eastAsia="Times New Roman" w:hAnsi="Arial" w:cs="Arial"/>
        </w:rPr>
        <w:t>2  Why the Chueh group at Stanford is the ideal place</w:t>
      </w:r>
    </w:p>
    <w:p w14:paraId="57B5471F" w14:textId="77777777" w:rsidR="008E5A22" w:rsidRDefault="008E5A22">
      <w:pPr>
        <w:pStyle w:val="NormalWeb"/>
        <w:rPr>
          <w:rFonts w:ascii="Arial" w:hAnsi="Arial" w:cs="Arial"/>
          <w:sz w:val="21"/>
          <w:szCs w:val="21"/>
        </w:rPr>
      </w:pPr>
      <w:r>
        <w:rPr>
          <w:rFonts w:ascii="Arial" w:hAnsi="Arial" w:cs="Arial"/>
          <w:sz w:val="21"/>
          <w:szCs w:val="21"/>
        </w:rPr>
        <w:t>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w:t>
      </w:r>
      <w:r>
        <w:rPr>
          <w:rFonts w:ascii="Arial" w:hAnsi="Arial" w:cs="Arial"/>
          <w:sz w:val="21"/>
          <w:szCs w:val="21"/>
          <w:vertAlign w:val="subscript"/>
        </w:rPr>
        <w:t>3</w:t>
      </w:r>
      <w:r>
        <w:rPr>
          <w:rFonts w:ascii="Arial" w:hAnsi="Arial" w:cs="Arial"/>
          <w:sz w:val="21"/>
          <w:szCs w:val="21"/>
        </w:rPr>
        <w:t xml:space="preserve">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 acquired on PCMO itself, the very material of this proposal [E1–E3]. This is the strongest possible de-risking for a 24-month project: growth windows, device processing and measurement protocols for PCMO are my established expertise, so the fellowship time is spent on the genuinely new element – the spectroscopic descriptor axis. The constellation is thus a genuine two-way transfer of knowledge. For complementary epitaxial growth questions, the environment of the Stanford Institute for Materials and Energy Sciences (SIMES) at SLAC is available. As a Bessel Research Award winner (2021), Prof. Chueh is a member of the Humboldt Network and has repeatedly hosted German postdocs – the host eligibility required by the programme is given.</w:t>
      </w:r>
    </w:p>
    <w:p w14:paraId="60766599" w14:textId="77777777" w:rsidR="008E5A22" w:rsidRDefault="008E5A22">
      <w:pPr>
        <w:pStyle w:val="Heading2"/>
        <w:rPr>
          <w:rFonts w:ascii="Arial" w:eastAsia="Times New Roman" w:hAnsi="Arial" w:cs="Arial"/>
        </w:rPr>
      </w:pPr>
      <w:r>
        <w:rPr>
          <w:rFonts w:ascii="Arial" w:eastAsia="Times New Roman" w:hAnsi="Arial" w:cs="Arial"/>
        </w:rPr>
        <w:t>3  Work programme (24 months)</w:t>
      </w:r>
    </w:p>
    <w:p w14:paraId="392489A8" w14:textId="77777777" w:rsidR="008E5A22" w:rsidRDefault="008E5A22">
      <w:pPr>
        <w:pStyle w:val="Heading3"/>
        <w:rPr>
          <w:rFonts w:ascii="Arial" w:eastAsia="Times New Roman" w:hAnsi="Arial" w:cs="Arial"/>
        </w:rPr>
      </w:pPr>
      <w:r>
        <w:rPr>
          <w:rFonts w:ascii="Arial" w:eastAsia="Times New Roman" w:hAnsi="Arial" w:cs="Arial"/>
        </w:rPr>
        <w:t>WP1 – Synthesis and descriptor measurement of the PCMO series (months 1–10)</w:t>
      </w:r>
    </w:p>
    <w:p w14:paraId="49C1BB29" w14:textId="77777777" w:rsidR="008E5A22" w:rsidRDefault="008E5A22">
      <w:pPr>
        <w:pStyle w:val="NormalWeb"/>
        <w:rPr>
          <w:rFonts w:ascii="Arial" w:hAnsi="Arial" w:cs="Arial"/>
          <w:sz w:val="21"/>
          <w:szCs w:val="21"/>
        </w:rPr>
      </w:pPr>
      <w:r>
        <w:rPr>
          <w:rFonts w:ascii="Arial" w:hAnsi="Arial" w:cs="Arial"/>
          <w:sz w:val="21"/>
          <w:szCs w:val="21"/>
        </w:rPr>
        <w:t>PLD growth of epitaxial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films (x = 0.1; 0.2; 0.3; 0.4; 0.5; 0.65; 0.8 – dense sampling around the reported switching optimum at x ≈ 0.4 and up to the x &gt; 0.8 regime where switching reportedly vanishes [16]) on Nb:SrTiO</w:t>
      </w:r>
      <w:r>
        <w:rPr>
          <w:rFonts w:ascii="Arial" w:hAnsi="Arial" w:cs="Arial"/>
          <w:sz w:val="21"/>
          <w:szCs w:val="21"/>
          <w:vertAlign w:val="subscript"/>
        </w:rPr>
        <w:t>3</w:t>
      </w:r>
      <w:r>
        <w:rPr>
          <w:rFonts w:ascii="Arial" w:hAnsi="Arial" w:cs="Arial"/>
          <w:sz w:val="21"/>
          <w:szCs w:val="21"/>
        </w:rPr>
        <w:t xml:space="preserve"> substrates in the Stanford/SLAC thin-film laboratories, building directly on my PCMO growth expertise [E1–E3]; structural validation (XRD, AFM); cation and oxygen stoichiometry (XPS, RBS where required). In parallel, first XAS campaign at SSRL: O-K pre-edge quantification following the procedure of Suntivich et al. [11], benchmarked against the published PCMO covalence analysis [9], and Mn-L</w:t>
      </w:r>
      <w:r>
        <w:rPr>
          <w:rFonts w:ascii="Arial" w:hAnsi="Arial" w:cs="Arial"/>
          <w:sz w:val="21"/>
          <w:szCs w:val="21"/>
          <w:vertAlign w:val="subscript"/>
        </w:rPr>
        <w:t>2,3</w:t>
      </w:r>
      <w:r>
        <w:rPr>
          <w:rFonts w:ascii="Arial" w:hAnsi="Arial" w:cs="Arial"/>
          <w:sz w:val="21"/>
          <w:szCs w:val="21"/>
        </w:rPr>
        <w:t xml:space="preserve"> valence analysis for every composition → experimental covalency scale of the series. </w:t>
      </w:r>
      <w:r>
        <w:rPr>
          <w:rFonts w:ascii="Arial" w:hAnsi="Arial" w:cs="Arial"/>
          <w:i/>
          <w:iCs/>
          <w:sz w:val="21"/>
          <w:szCs w:val="21"/>
        </w:rPr>
        <w:t>Milestone M1 (month 10): validated sample series with complete descriptor set.</w:t>
      </w:r>
    </w:p>
    <w:p w14:paraId="2835F886" w14:textId="77777777" w:rsidR="008E5A22" w:rsidRDefault="008E5A22">
      <w:pPr>
        <w:pStyle w:val="Heading3"/>
        <w:rPr>
          <w:rFonts w:ascii="Arial" w:eastAsia="Times New Roman" w:hAnsi="Arial" w:cs="Arial"/>
        </w:rPr>
      </w:pPr>
      <w:r>
        <w:rPr>
          <w:rFonts w:ascii="Arial" w:eastAsia="Times New Roman" w:hAnsi="Arial" w:cs="Arial"/>
        </w:rPr>
        <w:t>WP2 – Devices and switching characterisation (months 8–18)</w:t>
      </w:r>
    </w:p>
    <w:p w14:paraId="398C0459" w14:textId="77777777" w:rsidR="008E5A22" w:rsidRDefault="008E5A22">
      <w:pPr>
        <w:pStyle w:val="NormalWeb"/>
        <w:rPr>
          <w:rFonts w:ascii="Arial" w:hAnsi="Arial" w:cs="Arial"/>
          <w:sz w:val="21"/>
          <w:szCs w:val="21"/>
        </w:rPr>
      </w:pPr>
      <w:r>
        <w:rPr>
          <w:rFonts w:ascii="Arial" w:hAnsi="Arial" w:cs="Arial"/>
          <w:sz w:val="21"/>
          <w:szCs w:val="21"/>
        </w:rPr>
        <w:t xml:space="preserve">Two device flavours per composition, processed photolithographically with ≥ 30 nominally identical cells each: (i) a </w:t>
      </w:r>
      <w:r>
        <w:rPr>
          <w:rFonts w:ascii="Arial" w:hAnsi="Arial" w:cs="Arial"/>
          <w:i/>
          <w:iCs/>
          <w:sz w:val="21"/>
          <w:szCs w:val="21"/>
        </w:rPr>
        <w:t>benchmark geometry</w:t>
      </w:r>
      <w:r>
        <w:rPr>
          <w:rFonts w:ascii="Arial" w:hAnsi="Arial" w:cs="Arial"/>
          <w:sz w:val="21"/>
          <w:szCs w:val="21"/>
        </w:rPr>
        <w:t xml:space="preserve"> with reactive Ti top electrodes reproducing the Asanuma configuration [16] for direct quantitative comparability with the published switching-vs-x dataset, and (ii) a </w:t>
      </w:r>
      <w:r>
        <w:rPr>
          <w:rFonts w:ascii="Arial" w:hAnsi="Arial" w:cs="Arial"/>
          <w:i/>
          <w:iCs/>
          <w:sz w:val="21"/>
          <w:szCs w:val="21"/>
        </w:rPr>
        <w:t>clean geometry</w:t>
      </w:r>
      <w:r>
        <w:rPr>
          <w:rFonts w:ascii="Arial" w:hAnsi="Arial" w:cs="Arial"/>
          <w:sz w:val="21"/>
          <w:szCs w:val="21"/>
        </w:rPr>
        <w:t xml:space="preserve"> with inert Pt top electrodes on Nb:SrTiO</w:t>
      </w:r>
      <w:r>
        <w:rPr>
          <w:rFonts w:ascii="Arial" w:hAnsi="Arial" w:cs="Arial"/>
          <w:sz w:val="21"/>
          <w:szCs w:val="21"/>
          <w:vertAlign w:val="subscript"/>
        </w:rPr>
        <w:t>3</w:t>
      </w:r>
      <w:r>
        <w:rPr>
          <w:rFonts w:ascii="Arial" w:hAnsi="Arial" w:cs="Arial"/>
          <w:sz w:val="21"/>
          <w:szCs w:val="21"/>
        </w:rPr>
        <w:t xml:space="preserve">, isolating the covalency effect from reactive-electrode interface chemistry [14]. Quasistatic and pulsed switching characterisation following the statistics protocol established in my doctorate (ON/OFF at defined read-out voltage, forming requirement, switching kinetics, temperature-accelerated retention, endurance). </w:t>
      </w:r>
      <w:r>
        <w:rPr>
          <w:rFonts w:ascii="Arial" w:hAnsi="Arial" w:cs="Arial"/>
          <w:i/>
          <w:iCs/>
          <w:sz w:val="21"/>
          <w:szCs w:val="21"/>
        </w:rPr>
        <w:t>Milestone M2 (month 18): switching figures of merit as a function of x, in both geometries, with robust statistics.</w:t>
      </w:r>
    </w:p>
    <w:p w14:paraId="4B8F91BD" w14:textId="77777777" w:rsidR="008E5A22" w:rsidRDefault="008E5A22">
      <w:pPr>
        <w:pStyle w:val="Heading3"/>
        <w:rPr>
          <w:rFonts w:ascii="Arial" w:eastAsia="Times New Roman" w:hAnsi="Arial" w:cs="Arial"/>
        </w:rPr>
      </w:pPr>
      <w:r>
        <w:rPr>
          <w:rFonts w:ascii="Arial" w:eastAsia="Times New Roman" w:hAnsi="Arial" w:cs="Arial"/>
        </w:rPr>
        <w:t>WP3 – Correlation, operando validation and publication (months 16–24)</w:t>
      </w:r>
    </w:p>
    <w:p w14:paraId="5DD6DD78" w14:textId="77777777" w:rsidR="008E5A22" w:rsidRDefault="008E5A22">
      <w:pPr>
        <w:pStyle w:val="NormalWeb"/>
        <w:rPr>
          <w:rFonts w:ascii="Arial" w:hAnsi="Arial" w:cs="Arial"/>
          <w:sz w:val="21"/>
          <w:szCs w:val="21"/>
        </w:rPr>
      </w:pPr>
      <w:r>
        <w:rPr>
          <w:rFonts w:ascii="Arial" w:hAnsi="Arial" w:cs="Arial"/>
          <w:sz w:val="21"/>
          <w:szCs w:val="21"/>
        </w:rPr>
        <w:t>Correlation analysis covalency (XAS) ↔ E</w:t>
      </w:r>
      <w:r>
        <w:rPr>
          <w:rFonts w:ascii="Arial" w:hAnsi="Arial" w:cs="Arial"/>
          <w:sz w:val="21"/>
          <w:szCs w:val="21"/>
          <w:vertAlign w:val="subscript"/>
        </w:rPr>
        <w:t>V</w:t>
      </w:r>
      <w:r>
        <w:rPr>
          <w:rFonts w:ascii="Arial" w:hAnsi="Arial" w:cs="Arial"/>
          <w:sz w:val="21"/>
          <w:szCs w:val="21"/>
        </w:rPr>
        <w:t xml:space="preserve"> (literature descriptor models [5–8]) ↔ switching metrics; test of the central hypothesis that the covalency descriptor predicts the position of the Asanuma optimum. Second SSRL campaign: XAS on switched cells (ex-situ before/after switching, operando if successful) to verify that the composition-dependent differences indeed rest on different V</w:t>
      </w:r>
      <w:r>
        <w:rPr>
          <w:rFonts w:ascii="Arial" w:hAnsi="Arial" w:cs="Arial"/>
          <w:sz w:val="21"/>
          <w:szCs w:val="21"/>
          <w:vertAlign w:val="subscript"/>
        </w:rPr>
        <w:t>O</w:t>
      </w:r>
      <w:r>
        <w:rPr>
          <w:rFonts w:ascii="Arial" w:hAnsi="Arial" w:cs="Arial"/>
          <w:sz w:val="21"/>
          <w:szCs w:val="21"/>
        </w:rPr>
        <w:t xml:space="preserve"> dynamics. Publication of the first covalency-resolved memristor study of a perovskite series; dataset released following FAIR principles. </w:t>
      </w:r>
      <w:r>
        <w:rPr>
          <w:rFonts w:ascii="Arial" w:hAnsi="Arial" w:cs="Arial"/>
          <w:i/>
          <w:iCs/>
          <w:sz w:val="21"/>
          <w:szCs w:val="21"/>
        </w:rPr>
        <w:t>Milestone M3 (month 24): submitted publication(s), public dataset.</w:t>
      </w:r>
    </w:p>
    <w:p w14:paraId="16FB2E52" w14:textId="77777777" w:rsidR="008E5A22" w:rsidRDefault="008E5A22">
      <w:pPr>
        <w:pStyle w:val="Heading2"/>
        <w:rPr>
          <w:rFonts w:ascii="Arial" w:eastAsia="Times New Roman" w:hAnsi="Arial" w:cs="Arial"/>
        </w:rPr>
      </w:pPr>
      <w:r>
        <w:rPr>
          <w:rFonts w:ascii="Arial" w:eastAsia="Times New Roman" w:hAnsi="Arial" w:cs="Arial"/>
        </w:rPr>
        <w:t>4  Timeline</w:t>
      </w:r>
    </w:p>
    <w:tbl>
      <w:tblPr>
        <w:tblW w:w="5000" w:type="pct"/>
        <w:tblCellMar>
          <w:top w:w="15" w:type="dxa"/>
          <w:left w:w="15" w:type="dxa"/>
          <w:bottom w:w="15" w:type="dxa"/>
          <w:right w:w="15" w:type="dxa"/>
        </w:tblCellMar>
        <w:tblLook w:val="04A0" w:firstRow="1" w:lastRow="0" w:firstColumn="1" w:lastColumn="0" w:noHBand="0" w:noVBand="1"/>
      </w:tblPr>
      <w:tblGrid>
        <w:gridCol w:w="3623"/>
        <w:gridCol w:w="680"/>
        <w:gridCol w:w="679"/>
        <w:gridCol w:w="679"/>
        <w:gridCol w:w="679"/>
        <w:gridCol w:w="679"/>
        <w:gridCol w:w="679"/>
        <w:gridCol w:w="679"/>
        <w:gridCol w:w="679"/>
      </w:tblGrid>
      <w:tr w:rsidR="00C50C01" w14:paraId="515A1BA6" w14:textId="77777777">
        <w:tc>
          <w:tcPr>
            <w:tcW w:w="20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D2CBE94"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89815D8"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Q1</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D8AF6C0"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Q2</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7292A8B"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Q3</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1520E01"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Q4</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23F031B4"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Q5</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0AF8B19"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Q6</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9782D92"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Q7</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12794509"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Q8</w:t>
            </w:r>
          </w:p>
        </w:tc>
      </w:tr>
      <w:tr w:rsidR="00C50C01" w14:paraId="760651F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E37DAF"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WP1 Synthesis + XAS descriptors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5955E7"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4142A7"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A6E24D"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447186"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C3FB73" w14:textId="77777777" w:rsidR="008E5A22" w:rsidRDefault="008E5A22">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920F1F"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5ACF68"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D3BCFF" w14:textId="77777777" w:rsidR="008E5A22" w:rsidRDefault="008E5A22">
            <w:pPr>
              <w:spacing w:before="120" w:after="200"/>
              <w:jc w:val="center"/>
              <w:rPr>
                <w:rFonts w:eastAsia="Times New Roman"/>
                <w:sz w:val="20"/>
                <w:szCs w:val="20"/>
              </w:rPr>
            </w:pPr>
          </w:p>
        </w:tc>
      </w:tr>
      <w:tr w:rsidR="00C50C01" w14:paraId="792BD28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841818"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WP2 Devices + switching statistics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9D521F" w14:textId="77777777" w:rsidR="008E5A22" w:rsidRDefault="008E5A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F643D6A"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94D04C"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079D57"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2C197A"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DA355C"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3DF4AB" w14:textId="77777777" w:rsidR="008E5A22" w:rsidRDefault="008E5A22">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033B1" w14:textId="77777777" w:rsidR="008E5A22" w:rsidRDefault="008E5A22">
            <w:pPr>
              <w:spacing w:before="120" w:after="200"/>
              <w:jc w:val="center"/>
              <w:rPr>
                <w:rFonts w:eastAsia="Times New Roman"/>
                <w:sz w:val="20"/>
                <w:szCs w:val="20"/>
              </w:rPr>
            </w:pPr>
          </w:p>
        </w:tc>
      </w:tr>
      <w:tr w:rsidR="00C50C01" w14:paraId="31A08DB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38A551"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WP3 Correlation + operando + publication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ADC49" w14:textId="77777777" w:rsidR="008E5A22" w:rsidRDefault="008E5A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51976A"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2A8E81"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A9D244"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F447A8"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DC069"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7B67D1"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D4A9770"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776959DA" w14:textId="77777777" w:rsidR="008E5A22" w:rsidRDefault="008E5A22">
      <w:pPr>
        <w:pStyle w:val="Heading2"/>
        <w:rPr>
          <w:rFonts w:ascii="Arial" w:eastAsia="Times New Roman" w:hAnsi="Arial" w:cs="Arial"/>
        </w:rPr>
      </w:pPr>
      <w:r>
        <w:rPr>
          <w:rFonts w:ascii="Arial" w:eastAsia="Times New Roman" w:hAnsi="Arial" w:cs="Arial"/>
        </w:rPr>
        <w:t>5  Career perspective and return strategy</w:t>
      </w:r>
    </w:p>
    <w:p w14:paraId="1FA8FF20" w14:textId="77777777" w:rsidR="008E5A22" w:rsidRDefault="008E5A22">
      <w:pPr>
        <w:pStyle w:val="NormalWeb"/>
        <w:rPr>
          <w:rFonts w:ascii="Arial" w:hAnsi="Arial" w:cs="Arial"/>
          <w:sz w:val="21"/>
          <w:szCs w:val="21"/>
        </w:rPr>
      </w:pPr>
      <w:r>
        <w:rPr>
          <w:rFonts w:ascii="Arial" w:hAnsi="Arial" w:cs="Arial"/>
          <w:sz w:val="21"/>
          <w:szCs w:val="21"/>
        </w:rPr>
        <w:t>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and at the same time delivers the empirical foundation (the covalency-resolved PCMO dataset) for the larger programme of a “treasure map” of memristive oxides in analogy to the bonding-descriptor maps of Wuttig et al. [21]. The choice of the mechanism-stable PCMO family for this fellowship is deliberate: it de-risks the descriptor methodology on the cleanest possible system; the subsequent group programme then scales it to the ferrite and cobaltite families, where topotactic phase transitions are no longer a confounder but become chartable mechanism boundaries on the map. The return is concretely planned: reintegration into the German oxide-electronics environment (FZ Jülich/RWTH Aachen, JARA), supported by the Feodor Lynen Return Fellowship, with submission of the group proposal during the final year of the stay. The Stanford/SSRL collaboration built up abroad will be continued as the transatlantic bridge of the future group.</w:t>
      </w:r>
    </w:p>
    <w:p w14:paraId="31503D13" w14:textId="77777777" w:rsidR="008E5A22" w:rsidRDefault="008E5A22">
      <w:pPr>
        <w:pStyle w:val="Heading2"/>
        <w:rPr>
          <w:rFonts w:ascii="Arial" w:eastAsia="Times New Roman" w:hAnsi="Arial" w:cs="Arial"/>
        </w:rPr>
      </w:pPr>
      <w:r>
        <w:rPr>
          <w:rFonts w:ascii="Arial" w:eastAsia="Times New Roman" w:hAnsi="Arial" w:cs="Arial"/>
        </w:rPr>
        <w:t>6  References</w:t>
      </w:r>
    </w:p>
    <w:p w14:paraId="6E43E28F" w14:textId="77777777" w:rsidR="008E5A22" w:rsidRDefault="008E5A22">
      <w:pPr>
        <w:spacing w:after="60"/>
        <w:ind w:hanging="480"/>
        <w:divId w:val="2073653082"/>
        <w:rPr>
          <w:rFonts w:ascii="Arial" w:hAnsi="Arial" w:cs="Arial"/>
          <w:sz w:val="18"/>
          <w:szCs w:val="18"/>
        </w:rPr>
      </w:pPr>
      <w:r>
        <w:rPr>
          <w:rFonts w:ascii="Arial" w:hAnsi="Arial" w:cs="Arial"/>
          <w:sz w:val="18"/>
          <w:szCs w:val="18"/>
        </w:rPr>
        <w:t>[1] R. Waser, M. Aono, Nanoionics-based resistive switching memories. Nature Materials 6, 833–840 (2007).</w:t>
      </w:r>
    </w:p>
    <w:p w14:paraId="3D576DED" w14:textId="77777777" w:rsidR="008E5A22" w:rsidRDefault="008E5A22">
      <w:pPr>
        <w:spacing w:after="60"/>
        <w:ind w:hanging="480"/>
        <w:divId w:val="2073653082"/>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5E20FF2D" w14:textId="77777777" w:rsidR="008E5A22" w:rsidRDefault="008E5A22">
      <w:pPr>
        <w:spacing w:after="60"/>
        <w:ind w:hanging="480"/>
        <w:divId w:val="2073653082"/>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32EA58A2" w14:textId="77777777" w:rsidR="008E5A22" w:rsidRDefault="008E5A22">
      <w:pPr>
        <w:spacing w:after="60"/>
        <w:ind w:hanging="480"/>
        <w:divId w:val="2073653082"/>
        <w:rPr>
          <w:rFonts w:ascii="Arial" w:hAnsi="Arial" w:cs="Arial"/>
          <w:sz w:val="18"/>
          <w:szCs w:val="18"/>
        </w:rPr>
      </w:pPr>
      <w:r>
        <w:rPr>
          <w:rFonts w:ascii="Arial" w:hAnsi="Arial" w:cs="Arial"/>
          <w:sz w:val="18"/>
          <w:szCs w:val="18"/>
        </w:rPr>
        <w:t>[4] S. Menzel, M. Waters, A. Marchewka, U. Böttger, R. Dittmann, R. Waser, Origin of the Ultra-nonlinear Switching Kinetics in Oxide-Based Resistive Switches. Advanced Functional Materials 21, 4487–4492 (2011).</w:t>
      </w:r>
    </w:p>
    <w:p w14:paraId="63571F48" w14:textId="77777777" w:rsidR="008E5A22" w:rsidRDefault="008E5A22">
      <w:pPr>
        <w:spacing w:after="60"/>
        <w:ind w:hanging="480"/>
        <w:divId w:val="2073653082"/>
        <w:rPr>
          <w:rFonts w:ascii="Arial" w:hAnsi="Arial" w:cs="Arial"/>
          <w:sz w:val="18"/>
          <w:szCs w:val="18"/>
        </w:rPr>
      </w:pPr>
      <w:r>
        <w:rPr>
          <w:rFonts w:ascii="Arial" w:hAnsi="Arial" w:cs="Arial"/>
          <w:sz w:val="18"/>
          <w:szCs w:val="18"/>
        </w:rPr>
        <w:t>[5] Y.-L. Lee, J. Kleis, J. Rossmeisl, Y. Shao-Horn, D. Morgan, Prediction of solid oxide fuel cell cathode activity with first-principles descriptors. Energy &amp; Environmental Science 4, 3966–3970 (2011).</w:t>
      </w:r>
    </w:p>
    <w:p w14:paraId="20580498" w14:textId="77777777" w:rsidR="008E5A22" w:rsidRDefault="008E5A22">
      <w:pPr>
        <w:spacing w:after="60"/>
        <w:ind w:hanging="480"/>
        <w:divId w:val="2073653082"/>
        <w:rPr>
          <w:rFonts w:ascii="Arial" w:hAnsi="Arial" w:cs="Arial"/>
          <w:sz w:val="18"/>
          <w:szCs w:val="18"/>
        </w:rPr>
      </w:pPr>
      <w:r>
        <w:rPr>
          <w:rFonts w:ascii="Arial" w:hAnsi="Arial" w:cs="Arial"/>
          <w:sz w:val="18"/>
          <w:szCs w:val="18"/>
        </w:rPr>
        <w:t>[6] R. Jacobs, J. Hwang, Y. Shao-Horn, D. Morgan, Assessing Correlations of Perovskite Catalytic Performance with Electronic Structure Descriptors. Chemistry of Materials 31, 785–797 (2019).</w:t>
      </w:r>
    </w:p>
    <w:p w14:paraId="6BB50339" w14:textId="77777777" w:rsidR="008E5A22" w:rsidRDefault="008E5A22">
      <w:pPr>
        <w:spacing w:after="60"/>
        <w:ind w:hanging="480"/>
        <w:divId w:val="2073653082"/>
        <w:rPr>
          <w:rFonts w:ascii="Arial" w:hAnsi="Arial" w:cs="Arial"/>
          <w:sz w:val="18"/>
          <w:szCs w:val="18"/>
        </w:rPr>
      </w:pPr>
      <w:r>
        <w:rPr>
          <w:rFonts w:ascii="Arial" w:hAnsi="Arial" w:cs="Arial"/>
          <w:sz w:val="18"/>
          <w:szCs w:val="18"/>
        </w:rPr>
        <w:t>[7] A. M. Deml, V. Stevanović, C. L. Muhich, C. B. Musgrave, R. O’Hayre, Oxide enthalpy of formation and band gap energy as accurate descriptors of oxygen vacancy formation energetics. Energy &amp; Environmental Science 7, 1996–2004 (2014).</w:t>
      </w:r>
    </w:p>
    <w:p w14:paraId="1A4990E7" w14:textId="77777777" w:rsidR="008E5A22" w:rsidRDefault="008E5A22">
      <w:pPr>
        <w:spacing w:after="60"/>
        <w:ind w:hanging="480"/>
        <w:divId w:val="2073653082"/>
        <w:rPr>
          <w:rFonts w:ascii="Arial" w:hAnsi="Arial" w:cs="Arial"/>
          <w:sz w:val="18"/>
          <w:szCs w:val="18"/>
        </w:rPr>
      </w:pPr>
      <w:r>
        <w:rPr>
          <w:rFonts w:ascii="Arial" w:hAnsi="Arial" w:cs="Arial"/>
          <w:sz w:val="18"/>
          <w:szCs w:val="18"/>
        </w:rPr>
        <w:t>[8] R. B. Wexler, G. Sai Gautam, E. B. Stechel, E. A. Carter, Factors Governing Oxygen Vacancy Formation in Oxide Perovskites. Journal of the American Chemical Society 143, 13212–13227 (2021).</w:t>
      </w:r>
    </w:p>
    <w:p w14:paraId="1348B6AD" w14:textId="00D7E6F7" w:rsidR="008E5A22" w:rsidRDefault="008E5A22">
      <w:pPr>
        <w:spacing w:after="60"/>
        <w:ind w:hanging="480"/>
        <w:divId w:val="2073653082"/>
        <w:rPr>
          <w:rFonts w:ascii="Arial" w:hAnsi="Arial" w:cs="Arial"/>
          <w:sz w:val="18"/>
          <w:szCs w:val="18"/>
        </w:rPr>
      </w:pPr>
      <w:r>
        <w:rPr>
          <w:rFonts w:ascii="Arial" w:hAnsi="Arial" w:cs="Arial"/>
          <w:sz w:val="18"/>
          <w:szCs w:val="18"/>
        </w:rPr>
        <w:t>[9] G. Lole, F. Ebrahimi, T. Meyer, D. Mierwaldt, V. Roddatis, J. Geppert, M. Risch, C. Jooss, Contrasting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OER Catalysts with Different Valences and Covalences. The Journal of Physical Chemistry C 127, 177-186 (2023), DOI 10.1021/acs.jpcc.2c05622.</w:t>
      </w:r>
    </w:p>
    <w:p w14:paraId="6794CCA2" w14:textId="77777777" w:rsidR="008E5A22" w:rsidRDefault="008E5A22">
      <w:pPr>
        <w:spacing w:after="60"/>
        <w:ind w:hanging="480"/>
        <w:divId w:val="2073653082"/>
        <w:rPr>
          <w:rFonts w:ascii="Arial" w:hAnsi="Arial" w:cs="Arial"/>
          <w:sz w:val="18"/>
          <w:szCs w:val="18"/>
        </w:rPr>
      </w:pPr>
      <w:r>
        <w:rPr>
          <w:rFonts w:ascii="Arial" w:hAnsi="Arial" w:cs="Arial"/>
          <w:sz w:val="18"/>
          <w:szCs w:val="18"/>
        </w:rPr>
        <w:t>[10]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527B4F1F" w14:textId="77777777" w:rsidR="008E5A22" w:rsidRDefault="008E5A22">
      <w:pPr>
        <w:spacing w:after="60"/>
        <w:ind w:hanging="480"/>
        <w:divId w:val="2073653082"/>
        <w:rPr>
          <w:rFonts w:ascii="Arial" w:hAnsi="Arial" w:cs="Arial"/>
          <w:sz w:val="18"/>
          <w:szCs w:val="18"/>
        </w:rPr>
      </w:pPr>
      <w:r>
        <w:rPr>
          <w:rFonts w:ascii="Arial" w:hAnsi="Arial" w:cs="Arial"/>
          <w:sz w:val="18"/>
          <w:szCs w:val="18"/>
        </w:rPr>
        <w:t>[11] J. Suntivich et al., Estimating Hybridization of Transition Metal and Oxygen States in Perovskites from O K-edge X-ray Absorption Spectroscopy. Journal of Physical Chemistry C 118, 1856–1863 (2014).</w:t>
      </w:r>
    </w:p>
    <w:p w14:paraId="5F974428" w14:textId="77777777" w:rsidR="008E5A22" w:rsidRDefault="008E5A22">
      <w:pPr>
        <w:spacing w:after="60"/>
        <w:ind w:hanging="480"/>
        <w:divId w:val="2073653082"/>
        <w:rPr>
          <w:rFonts w:ascii="Arial" w:hAnsi="Arial" w:cs="Arial"/>
          <w:sz w:val="18"/>
          <w:szCs w:val="18"/>
        </w:rPr>
      </w:pPr>
      <w:r>
        <w:rPr>
          <w:rFonts w:ascii="Arial" w:hAnsi="Arial" w:cs="Arial"/>
          <w:sz w:val="18"/>
          <w:szCs w:val="18"/>
        </w:rPr>
        <w:t>[12] S. Q. Liu, N. J. Wu, A. Ignatiev, Electric-pulse-induced reversible resistance change effect in magnetoresistive films. Applied Physics Letters 76, 2749–2751 (2000).</w:t>
      </w:r>
    </w:p>
    <w:p w14:paraId="491EA1F3" w14:textId="77777777" w:rsidR="008E5A22" w:rsidRDefault="008E5A22">
      <w:pPr>
        <w:spacing w:after="60"/>
        <w:ind w:hanging="480"/>
        <w:divId w:val="2073653082"/>
        <w:rPr>
          <w:rFonts w:ascii="Arial" w:hAnsi="Arial" w:cs="Arial"/>
          <w:sz w:val="18"/>
          <w:szCs w:val="18"/>
        </w:rPr>
      </w:pPr>
      <w:r>
        <w:rPr>
          <w:rFonts w:ascii="Arial" w:hAnsi="Arial" w:cs="Arial"/>
          <w:sz w:val="18"/>
          <w:szCs w:val="18"/>
        </w:rPr>
        <w:t>[13] A. Sawa, T. Fujii, M. Kawasaki, Y. Tokura, Hysteretic current–voltage characteristics and resistance switching at a rectifying Ti/Pr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interface. Applied Physics Letters 85, 4073–4075 (2004).</w:t>
      </w:r>
    </w:p>
    <w:p w14:paraId="3737C4F0" w14:textId="77777777" w:rsidR="008E5A22" w:rsidRDefault="008E5A22">
      <w:pPr>
        <w:spacing w:after="60"/>
        <w:ind w:hanging="480"/>
        <w:divId w:val="2073653082"/>
        <w:rPr>
          <w:rFonts w:ascii="Arial" w:hAnsi="Arial" w:cs="Arial"/>
          <w:sz w:val="18"/>
          <w:szCs w:val="18"/>
        </w:rPr>
      </w:pPr>
      <w:r>
        <w:rPr>
          <w:rFonts w:ascii="Arial" w:hAnsi="Arial" w:cs="Arial"/>
          <w:sz w:val="18"/>
          <w:szCs w:val="18"/>
        </w:rPr>
        <w:t>[14] A. Herpers, C. Lenser, C. Park, F. Offi, F. Borgatti, G. Panaccione, S. Menzel, R. Waser, R. Dittmann, Spectroscopic proof of the correlation between redox-state and charge-carrier transport at the interface of resistively switching Ti/PCMO devices. Advanced Materials 26, 2730–2735 (2014).</w:t>
      </w:r>
    </w:p>
    <w:p w14:paraId="718B06F9" w14:textId="77777777" w:rsidR="008E5A22" w:rsidRDefault="008E5A22">
      <w:pPr>
        <w:spacing w:after="60"/>
        <w:ind w:hanging="480"/>
        <w:divId w:val="2073653082"/>
        <w:rPr>
          <w:rFonts w:ascii="Arial" w:hAnsi="Arial" w:cs="Arial"/>
          <w:sz w:val="18"/>
          <w:szCs w:val="18"/>
        </w:rPr>
      </w:pPr>
      <w:r>
        <w:rPr>
          <w:rFonts w:ascii="Arial" w:hAnsi="Arial" w:cs="Arial"/>
          <w:sz w:val="18"/>
          <w:szCs w:val="18"/>
        </w:rPr>
        <w:t>[15]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7D976BD9" w14:textId="77777777" w:rsidR="008E5A22" w:rsidRDefault="008E5A22">
      <w:pPr>
        <w:spacing w:after="60"/>
        <w:ind w:hanging="480"/>
        <w:divId w:val="2073653082"/>
        <w:rPr>
          <w:rFonts w:ascii="Arial" w:hAnsi="Arial" w:cs="Arial"/>
          <w:sz w:val="18"/>
          <w:szCs w:val="18"/>
        </w:rPr>
      </w:pPr>
      <w:r>
        <w:rPr>
          <w:rFonts w:ascii="Arial" w:hAnsi="Arial" w:cs="Arial"/>
          <w:sz w:val="18"/>
          <w:szCs w:val="18"/>
        </w:rPr>
        <w:t>[16]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35116B87" w14:textId="77777777" w:rsidR="008E5A22" w:rsidRDefault="008E5A22">
      <w:pPr>
        <w:spacing w:after="60"/>
        <w:ind w:hanging="480"/>
        <w:divId w:val="2073653082"/>
        <w:rPr>
          <w:rFonts w:ascii="Arial" w:hAnsi="Arial" w:cs="Arial"/>
          <w:sz w:val="18"/>
          <w:szCs w:val="18"/>
        </w:rPr>
      </w:pPr>
      <w:r>
        <w:rPr>
          <w:rFonts w:ascii="Arial" w:hAnsi="Arial" w:cs="Arial"/>
          <w:sz w:val="18"/>
          <w:szCs w:val="18"/>
        </w:rPr>
        <w:t>[17]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7856F215" w14:textId="77777777" w:rsidR="008E5A22" w:rsidRDefault="008E5A22">
      <w:pPr>
        <w:spacing w:after="60"/>
        <w:ind w:hanging="480"/>
        <w:divId w:val="2073653082"/>
        <w:rPr>
          <w:rFonts w:ascii="Arial" w:hAnsi="Arial" w:cs="Arial"/>
          <w:sz w:val="18"/>
          <w:szCs w:val="18"/>
        </w:rPr>
      </w:pPr>
      <w:r>
        <w:rPr>
          <w:rFonts w:ascii="Arial" w:hAnsi="Arial" w:cs="Arial"/>
          <w:sz w:val="18"/>
          <w:szCs w:val="18"/>
        </w:rPr>
        <w:t>[18] W. C. Chueh, C. Falter, M. Abbott, D. Scipio, P. Furler, S. M. Haile, A. Steinfeld, High-Flux Solar-Driven Thermochemical Dissociation of CO</w:t>
      </w:r>
      <w:r>
        <w:rPr>
          <w:rFonts w:ascii="Arial" w:hAnsi="Arial" w:cs="Arial"/>
          <w:sz w:val="18"/>
          <w:szCs w:val="18"/>
          <w:vertAlign w:val="subscript"/>
        </w:rPr>
        <w:t>2</w:t>
      </w:r>
      <w:r>
        <w:rPr>
          <w:rFonts w:ascii="Arial" w:hAnsi="Arial" w:cs="Arial"/>
          <w:sz w:val="18"/>
          <w:szCs w:val="18"/>
        </w:rPr>
        <w:t xml:space="preserve"> and H</w:t>
      </w:r>
      <w:r>
        <w:rPr>
          <w:rFonts w:ascii="Arial" w:hAnsi="Arial" w:cs="Arial"/>
          <w:sz w:val="18"/>
          <w:szCs w:val="18"/>
          <w:vertAlign w:val="subscript"/>
        </w:rPr>
        <w:t>2</w:t>
      </w:r>
      <w:r>
        <w:rPr>
          <w:rFonts w:ascii="Arial" w:hAnsi="Arial" w:cs="Arial"/>
          <w:sz w:val="18"/>
          <w:szCs w:val="18"/>
        </w:rPr>
        <w:t>O Using Nonstoichiometric Ceria. Science 330, 1797–1801 (2010).</w:t>
      </w:r>
    </w:p>
    <w:p w14:paraId="3A91F9E1" w14:textId="77777777" w:rsidR="008E5A22" w:rsidRDefault="008E5A22">
      <w:pPr>
        <w:spacing w:after="60"/>
        <w:ind w:hanging="480"/>
        <w:divId w:val="2073653082"/>
        <w:rPr>
          <w:rFonts w:ascii="Arial" w:hAnsi="Arial" w:cs="Arial"/>
          <w:sz w:val="18"/>
          <w:szCs w:val="18"/>
        </w:rPr>
      </w:pPr>
      <w:r>
        <w:rPr>
          <w:rFonts w:ascii="Arial" w:hAnsi="Arial" w:cs="Arial"/>
          <w:sz w:val="18"/>
          <w:szCs w:val="18"/>
        </w:rPr>
        <w:t>[19] D. N. Mueller, M. L. Machala, H. Bluhm, W. C. Chueh, Redox activity of surface oxygen anions in oxygen-deficient perovskite oxides during electrochemical reactions. Nature Communications 6, 6097 (2015).</w:t>
      </w:r>
    </w:p>
    <w:p w14:paraId="0D2BF619" w14:textId="77777777" w:rsidR="008E5A22" w:rsidRDefault="008E5A22">
      <w:pPr>
        <w:spacing w:after="60"/>
        <w:ind w:hanging="480"/>
        <w:divId w:val="2073653082"/>
        <w:rPr>
          <w:rFonts w:ascii="Arial" w:hAnsi="Arial" w:cs="Arial"/>
          <w:sz w:val="18"/>
          <w:szCs w:val="18"/>
        </w:rPr>
      </w:pPr>
      <w:r>
        <w:rPr>
          <w:rFonts w:ascii="Arial" w:hAnsi="Arial" w:cs="Arial"/>
          <w:sz w:val="18"/>
          <w:szCs w:val="18"/>
        </w:rPr>
        <w:t>[20] C. Baeumer, J. Li, Q. Lu et al. (with W. C. Chueh), Tuning electrochemically driven surface transformation in atomically flat LaNiO</w:t>
      </w:r>
      <w:r>
        <w:rPr>
          <w:rFonts w:ascii="Arial" w:hAnsi="Arial" w:cs="Arial"/>
          <w:sz w:val="18"/>
          <w:szCs w:val="18"/>
          <w:vertAlign w:val="subscript"/>
        </w:rPr>
        <w:t>3</w:t>
      </w:r>
      <w:r>
        <w:rPr>
          <w:rFonts w:ascii="Arial" w:hAnsi="Arial" w:cs="Arial"/>
          <w:sz w:val="18"/>
          <w:szCs w:val="18"/>
        </w:rPr>
        <w:t xml:space="preserve"> thin films for enhanced water electrolysis. Nature Materials 20, 674–682 (2021).</w:t>
      </w:r>
    </w:p>
    <w:p w14:paraId="6A8CC9E3" w14:textId="77777777" w:rsidR="008E5A22" w:rsidRDefault="008E5A22">
      <w:pPr>
        <w:spacing w:after="60"/>
        <w:ind w:hanging="480"/>
        <w:divId w:val="2073653082"/>
        <w:rPr>
          <w:rFonts w:ascii="Arial" w:hAnsi="Arial" w:cs="Arial"/>
          <w:sz w:val="18"/>
          <w:szCs w:val="18"/>
        </w:rPr>
      </w:pPr>
      <w:r>
        <w:rPr>
          <w:rFonts w:ascii="Arial" w:hAnsi="Arial" w:cs="Arial"/>
          <w:sz w:val="18"/>
          <w:szCs w:val="18"/>
        </w:rPr>
        <w:t>[21] M. Wuttig et al., Revisiting the Nature of Chemical Bonding in Chalcogenides to Explain and Design their Properties. Advanced Materials 35, 2208485 (2023).</w:t>
      </w:r>
    </w:p>
    <w:p>
      <w:pPr>
        <w:spacing w:after="60"/>
        <w:ind w:hanging="480"/>
        <w:divId w:val="2073653082"/>
        <w:rPr>
          <w:rFonts w:ascii="Arial" w:hAnsi="Arial" w:cs="Arial"/>
          <w:sz w:val="18"/>
          <w:szCs w:val="18"/>
        </w:rPr>
      </w:pPr>
      <w:r>
        <w:rPr>
          <w:rFonts w:ascii="Arial" w:hAnsi="Arial" w:cs="Arial"/>
          <w:sz w:val="18"/>
          <w:szCs w:val="18"/>
        </w:rPr>
        <w:t xml:space="preserve">[22] A. Schulman, H. Huhtinen, P. Paturi, Manganite memristive devices: recent progress and emerging opportunities. Journal of Physics D: Applied Physics 57, 422001 (2024).</w:t>
      </w:r>
    </w:p>
    <w:p>
      <w:pPr>
        <w:spacing w:after="60"/>
        <w:ind w:hanging="480"/>
        <w:divId w:val="2073653082"/>
        <w:rPr>
          <w:rFonts w:ascii="Arial" w:hAnsi="Arial" w:cs="Arial"/>
          <w:sz w:val="18"/>
          <w:szCs w:val="18"/>
        </w:rPr>
      </w:pPr>
      <w:r>
        <w:rPr>
          <w:rFonts w:ascii="Arial" w:hAnsi="Arial" w:cs="Arial"/>
          <w:sz w:val="18"/>
          <w:szCs w:val="18"/>
        </w:rPr>
        <w:t xml:space="preserve">[23] A. Antola, J. Laaksonen, H. Huhtinen, I. Angervo, S. Granroth, A. Schulman, P. Laukkanen, P. Paturi, Area-Dependent Resistive Switching and Interfacial Dynamics in GCMO-Based Memristors. ACS Applied Electronic Materials 7, 4242–4250 (2025).</w:t>
      </w:r>
    </w:p>
    <w:p w14:paraId="3629FB22" w14:textId="77777777" w:rsidR="008E5A22" w:rsidRDefault="008E5A22">
      <w:pPr>
        <w:spacing w:after="60"/>
        <w:ind w:hanging="480"/>
        <w:divId w:val="2073653082"/>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03940FE3" w14:textId="77777777" w:rsidR="008E5A22" w:rsidRDefault="008E5A22">
      <w:pPr>
        <w:spacing w:after="60"/>
        <w:ind w:hanging="480"/>
        <w:divId w:val="2073653082"/>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62322458" w14:textId="77777777" w:rsidR="008E5A22" w:rsidRDefault="008E5A22">
      <w:pPr>
        <w:spacing w:after="60"/>
        <w:ind w:hanging="480"/>
        <w:divId w:val="2073653082"/>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38A93C9B" w14:textId="77777777" w:rsidR="008E5A22" w:rsidRDefault="008E5A22">
      <w:pPr>
        <w:pStyle w:val="Heading1"/>
        <w:pageBreakBefore/>
        <w:rPr>
          <w:rFonts w:ascii="Arial" w:eastAsia="Times New Roman" w:hAnsi="Arial" w:cs="Arial"/>
        </w:rPr>
      </w:pPr>
      <w:r>
        <w:rPr>
          <w:rFonts w:ascii="Arial" w:eastAsia="Times New Roman" w:hAnsi="Arial" w:cs="Arial"/>
        </w:rPr>
        <w:t>Checklist of Further Application Documents (AvH online portal)</w:t>
      </w:r>
    </w:p>
    <w:tbl>
      <w:tblPr>
        <w:tblW w:w="5000" w:type="pct"/>
        <w:tblCellMar>
          <w:top w:w="15" w:type="dxa"/>
          <w:left w:w="15" w:type="dxa"/>
          <w:bottom w:w="15" w:type="dxa"/>
          <w:right w:w="15" w:type="dxa"/>
        </w:tblCellMar>
        <w:tblLook w:val="04A0" w:firstRow="1" w:lastRow="0" w:firstColumn="1" w:lastColumn="0" w:noHBand="0" w:noVBand="1"/>
      </w:tblPr>
      <w:tblGrid>
        <w:gridCol w:w="3804"/>
        <w:gridCol w:w="5252"/>
      </w:tblGrid>
      <w:tr w:rsidR="00C50C01" w14:paraId="21E64BFB" w14:textId="77777777">
        <w:tc>
          <w:tcPr>
            <w:tcW w:w="21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4F86CAB8"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Document</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011BC878"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Status / note</w:t>
            </w:r>
          </w:p>
        </w:tc>
      </w:tr>
      <w:tr w:rsidR="00C50C01" w14:paraId="2923DD1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FDB25B"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Curriculum vitae (max. 2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B007B1"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Condense from CV_Max_Buczek; focus: doctorate, methodological profile, publications, supervision</w:t>
            </w:r>
          </w:p>
        </w:tc>
      </w:tr>
      <w:tr w:rsidR="00C50C01" w14:paraId="07DC354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E59DFF"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Research proposal (max. 5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EB31A5"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 xml:space="preserve">This exposé – </w:t>
            </w:r>
            <w:r>
              <w:rPr>
                <w:rFonts w:ascii="Arial" w:eastAsia="Times New Roman" w:hAnsi="Arial" w:cs="Arial"/>
                <w:b/>
                <w:bCs/>
                <w:sz w:val="19"/>
                <w:szCs w:val="19"/>
              </w:rPr>
              <w:t>coordinate with Prof. Chueh before submission</w:t>
            </w:r>
            <w:r>
              <w:rPr>
                <w:rFonts w:ascii="Arial" w:eastAsia="Times New Roman" w:hAnsi="Arial" w:cs="Arial"/>
                <w:sz w:val="19"/>
                <w:szCs w:val="19"/>
              </w:rPr>
              <w:t xml:space="preserve"> (AvH requirement: independently developed, coordinated with the host)</w:t>
            </w:r>
          </w:p>
        </w:tc>
      </w:tr>
      <w:tr w:rsidR="00C50C01" w14:paraId="51BD59B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F39578"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Complete list of publications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B9DF6F"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Incl. conference contributions and patent application</w:t>
            </w:r>
          </w:p>
        </w:tc>
      </w:tr>
      <w:tr w:rsidR="00C50C01" w14:paraId="50CAE20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270097"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1–3 key publications with justification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4E9585"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Recommendation: Chem. Rev. 2025 (command of the field, first author), Adv. Electron. Mater. 2026 (device innovation), Thin Solid Films 2024 (PLD methodology)</w:t>
            </w:r>
          </w:p>
        </w:tc>
      </w:tr>
      <w:tr w:rsidR="00C50C01" w14:paraId="42F146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4E617E"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Doctoral certificate / proof</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FED9AA"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If applying before completion: declaration that the dissertation will be submitted within 6 months</w:t>
            </w:r>
          </w:p>
        </w:tc>
      </w:tr>
      <w:tr w:rsidR="00C50C01" w14:paraId="4228FE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1BD44D"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Host’s statement + confirmation of research place (incl. mentoring agreement and co-funding commitment)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AC5AEC"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Prof. Chueh uploads directly to the AvH portal; raise the host contribution (approx. 1/3 of the fellowship; USA is a contributing country) early</w:t>
            </w:r>
          </w:p>
        </w:tc>
      </w:tr>
      <w:tr w:rsidR="00C50C01" w14:paraId="7455DFD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B77A25"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Two expert reviews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D59F87"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Recommendation: Prof. R. Dittmann (doctoral supervisor) + one external, preferably international referee [e.g. from the NeuroSys consortium or the E-MRS environment]</w:t>
            </w:r>
          </w:p>
        </w:tc>
      </w:tr>
    </w:tbl>
    <w:p w14:paraId="1D787D11" w14:textId="77777777" w:rsidR="008E5A22" w:rsidRDefault="008E5A22">
      <w:pPr>
        <w:pStyle w:val="Heading2"/>
        <w:rPr>
          <w:rFonts w:ascii="Arial" w:eastAsia="Times New Roman" w:hAnsi="Arial" w:cs="Arial"/>
        </w:rPr>
      </w:pPr>
      <w:r>
        <w:rPr>
          <w:rFonts w:ascii="Arial" w:eastAsia="Times New Roman" w:hAnsi="Arial" w:cs="Arial"/>
        </w:rPr>
        <w:t>Fellowship benefits (for orientation, as of 2026)</w:t>
      </w:r>
    </w:p>
    <w:p w14:paraId="3262BFBB" w14:textId="77777777" w:rsidR="008E5A22" w:rsidRDefault="008E5A22">
      <w:pPr>
        <w:pStyle w:val="NormalWeb"/>
        <w:rPr>
          <w:rFonts w:ascii="Arial" w:hAnsi="Arial" w:cs="Arial"/>
          <w:sz w:val="21"/>
          <w:szCs w:val="21"/>
        </w:rPr>
      </w:pPr>
      <w:r>
        <w:rPr>
          <w:rFonts w:ascii="Arial" w:hAnsi="Arial" w:cs="Arial"/>
          <w:sz w:val="21"/>
          <w:szCs w:val="21"/>
        </w:rPr>
        <w:t>Base fellowship € 2,187.50/month (minus host contribution) + foreign allowance USA (€ 1,892 single or € 2,528–2,807 with family) + research cost allowance € 312.50/month + travel lump sums; family benefits (partner allowance € 205, child allowance € 400/100); afterwards optionally the Feodor Lynen Return Fellowship (up to 12 months, € 3,600/month) to bridge until group funding. Applications accepted at any time; selection meetings February/June/October; success rate approx. 40 %.</w:t>
      </w:r>
    </w:p>
    <w:sectPr w:rsidR="008E5A2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7534"/>
    <w:rsid w:val="003C7534"/>
    <w:rsid w:val="008E5A22"/>
    <w:rsid w:val="009521A0"/>
    <w:rsid w:val="00B74F8F"/>
    <w:rsid w:val="00C37513"/>
    <w:rsid w:val="00C50C0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E9E4DB0"/>
  <w15:chartTrackingRefBased/>
  <w15:docId w15:val="{EB2E8832-DCFB-4847-BEA2-EC3DB9F250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A5632"/>
      <w:kern w:val="36"/>
      <w:sz w:val="28"/>
      <w:szCs w:val="28"/>
    </w:rPr>
  </w:style>
  <w:style w:type="paragraph" w:styleId="Heading2">
    <w:name w:val="heading 2"/>
    <w:basedOn w:val="Normal"/>
    <w:link w:val="Heading2Char"/>
    <w:uiPriority w:val="9"/>
    <w:qFormat/>
    <w:pPr>
      <w:spacing w:before="260" w:after="120"/>
      <w:outlineLvl w:val="1"/>
    </w:pPr>
    <w:rPr>
      <w:b/>
      <w:bCs/>
      <w:color w:val="1A5632"/>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3653082">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2518</Words>
  <Characters>14353</Characters>
  <Application>Microsoft Office Word</Application>
  <DocSecurity>0</DocSecurity>
  <Lines>119</Lines>
  <Paragraphs>33</Paragraphs>
  <ScaleCrop>false</ScaleCrop>
  <Company/>
  <LinksUpToDate>false</LinksUpToDate>
  <CharactersWithSpaces>16838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Feodor Lynen Research Fellowship - Application Buczek (English)</dc:title>
  <dc:subject/>
  <dc:creator>Buczek, Max</dc:creator>
  <cp:keywords/>
  <dc:description/>
  <cp:lastModifiedBy>Buczek, Max</cp:lastModifiedBy>
  <cp:revision>3</cp:revision>
  <dcterms:created xsi:type="dcterms:W3CDTF">2026-08-09T14:10:00Z</dcterms:created>
  <dcterms:modified xsi:type="dcterms:W3CDTF">2026-08-09T14:54:00Z</dcterms:modified>
</cp:coreProperties>
</file>