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Materialscreening: weitere Systeme für die Deskriptorkette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Stand: 09.08.2026 · Claude-Code-generiert · Systematisches Familien-Screening (6 parallele Literatur-Sweeps: Kobaltite, Nickelate, Kuprate, weitere Ferrite/Manganite, Titanate/Fluorite/Vanadate, offener Sweep; &gt;140 Suchanfragen, alle Kernaussagen ≥2-fach korroboriert; Crossref/doi.org netzseitig gesperrt, daher Verlags-/Index-Abgleich).</w:t>
      </w:r>
    </w:p>
    <w:p>
      <w:pPr>
        <w:pStyle w:val="Heading1"/>
        <w:spacing w:after="120" w:before="240"/>
      </w:pPr>
      <w:r>
        <w:t xml:space="preserve">Kriterien (identisch zur Portfolio-Entscheidung)</w:t>
      </w:r>
    </w:p>
    <w:p>
      <w:pPr>
        <w:spacing w:after="100"/>
      </w:pPr>
      <w:r>
        <w:t xml:space="preserve">1a: Kovalenzänderung mit der Stöchiometrie experimentell belegt (XAS-Serie vs. x oder δ). 1b: EV-Änderung mit Stöchiometrie/Kovalenz belegt (Defektchemie/DFT, idealerweise quantitativ). 2: Resistives Schalten in einer Zweipol-Zelle mit AKTIVER Edelmetall-/Inert-Grenzfläche (Pt, Au, Graphen; inerte Oxid-Gegenelektrode passiv zulässig) – Einzelstöchiometrie genügt; spitzenbasierte Demonstrationen und reaktive Elektroden (Ti, Al, Ag, TiN, W, MoSi) zählen nicht.</w:t>
      </w:r>
    </w:p>
    <w:p>
      <w:pPr>
        <w:pStyle w:val="Heading1"/>
        <w:spacing w:after="120" w:before="240"/>
      </w:pPr>
      <w:r>
        <w:t xml:space="preserve">Volltreffer: alle drei Kriterien erfüllt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100"/>
        <w:gridCol w:w="2100"/>
        <w:gridCol w:w="1272"/>
      </w:tblGrid>
      <w:tr>
        <w:tc>
          <w:tcPr>
            <w:tcW w:type="dxa" w:w="1500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System</w:t>
            </w:r>
          </w:p>
        </w:tc>
        <w:tc>
          <w:tcPr>
            <w:tcW w:type="dxa" w:w="2100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Achse 1a</w:t>
            </w:r>
          </w:p>
        </w:tc>
        <w:tc>
          <w:tcPr>
            <w:tcW w:type="dxa" w:w="2100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Achse 1b</w:t>
            </w:r>
          </w:p>
        </w:tc>
        <w:tc>
          <w:tcPr>
            <w:tcW w:type="dxa" w:w="2100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Achse 2 (Stack)</w:t>
            </w:r>
          </w:p>
        </w:tc>
        <w:tc>
          <w:tcPr>
            <w:tcW w:type="dxa" w:w="1272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Confounder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YBa2Cu3O7-δ (YBCO)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1a: platzaufgelöste O-1s/Cu-2p-XAS-Serien vs. Dotierung/δ – Ebenen-, Ketten- und Apex-Lochzählung (Nücker, PRB 51, 8529 (1995); Merz, PRL 80, 5192 (1998))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1b: DFT-Punktdefektmodell, EV platzabhängig und δ-abhängig (Kette ≈1,2 eV vs. Ebene ≈2,1 eV; J. Phys. Commun. 2020, 10.1088/2399-6528/abc9a7; JAP 140, 055104)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2: Au/YBCO/Au etabliert und mehrfach repliziert (Acha/Rozenberg, JPCM 21, 045702 (2009); APL 127, 241602; ACS AEM 10.1021/acsaelm.5c02017, 80–300 K)</w:t>
            </w:r>
          </w:p>
        </w:tc>
        <w:tc>
          <w:tcPr>
            <w:tcW w:type="dxa" w:w="12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Supraleitung &lt; 93 K; Kettenordnung (Ortho-II/III); bisher meist Keramik – epitaktische Zellen wären eigener Beitrag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SrCoOx (SrCoO2.5 ↔ SrCoO3-δ)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1a: Co-L/O-K-XAS über die topotaktische δ-Serie („oxygen sponge“; Jeen, Nat. Mater. 12, 1057 (2013))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1b: DFT EV(δ) inkl. Kovalenz-Argument (Mefford, Nat. Commun. 7, 11053 (2016); Sci. Adv. 7, eabh0648 (2021))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2: Au-aktive Stapel: Au/SrCoO2.5/La0.7Sr0.3MnO3 (ACS AMI 8, 7902 (2016); Strain-Serie ACS AELM 2022) und Au/SrCoO2.5/Nb:SrTiO3 (Adv. Mater. 31, 1903391 (2019))</w:t>
            </w:r>
          </w:p>
        </w:tc>
        <w:tc>
          <w:tcPr>
            <w:tcW w:type="dxa" w:w="12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Topotaktik = Mechanismus (strukturell); FM-Metall/AFM-Isolator-Kopplung; H-Interkalationsphase möglich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SrFeOx / Ba1-xSrxFeO3-δ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1a: XPS/XES/XAS-Serie x = 2,46–2,82, Fe3d–O2p-Hybridisierung/Ligandloch Fe4+ (Galakhov, JPCC 114, 5154 (2010))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1b: DFT+U EV(δ) und Migration, δ-abhängige Vakanzordnung (PCCP 2021, 10.1039/D1CP02452C)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2: Au-aktive Stapel Au/SrFeO2.5/SrRuO3 und Au/SrFeO2.5/Nb:SrTiO3 (Nallagatla, Adv. Mater. 31, 1903391 (2019); ACS AMI 12, 41740 (2020))</w:t>
            </w:r>
          </w:p>
        </w:tc>
        <w:tc>
          <w:tcPr>
            <w:tcW w:type="dxa" w:w="12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Nur (111)-Orientierung schaltet (VO-Kanäle); Degradation; = Endglied der bereits geplanten LSFO-Serie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Ce1-xGdxO2-δ (GDC, Fluorit)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1a: Ce-L3/M4,5-XAS &amp; EELS – Ce4f–O2p-Hybridisierung/Ce3+ vs. δ; vs. Gd-x teilweise (keine kanonische O-K-Serie)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1b: DFT EV- und Assoziationsenergien vs. Dotand (Andersson, PNAS 103, 3518 (2006)); experimentelle Vakanz-Assoziation vs. x (Schmitt/Rupp)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2: Pt/Ce1-xGdxO2-δ/Pt-Crossbar MIT x-Serie x = 0…0,2 im Device (Schmitt et al., ACS Nano 11, 8881 (2017) – bereits im Antragsapparat zitiert); polaronic RS (AEM 2019, 10.1002/aelm.201900271)</w:t>
            </w:r>
          </w:p>
        </w:tc>
        <w:tc>
          <w:tcPr>
            <w:tcW w:type="dxa" w:w="12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Kovalenzachse (Ce 4f) primär über δ, Gd wirkt v. a. über VO-Konzentration/Assoziation – 1a-Interpretation anders als bei Perowskiten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Sm0.2Ce0.8O2-δ (SDC, Fluorit)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1a: teilweise (EXAFS-Koordination vs. x; Ceria-δ-Spektroskopie generisch)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1b: Ceria-Defektchemie/DFT (wie GDC)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2: Pt/SDC/Nb:SrTiO3, bipolar, stabil (Shi et al., Materials 17, 3360 (2024))</w:t>
            </w:r>
          </w:p>
        </w:tc>
        <w:tc>
          <w:tcPr>
            <w:tcW w:type="dxa" w:w="12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Korngrenz-Elektronentrapping dominiert Fenster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BiFeO3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1a: Fe-L/O-K-NEXAFS (Hybridisierung belegt), aber keine Dotierserie – teilweise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1b: DFT EV inkl. Bi-O-Divakanzen, dehnungsabhängig (Materials 17, 5397 (2024); Sci. Data 4, 170153)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2: Pt/BiFeO3/Nb:SrTiO3 (RSC Adv. 2017, 10.1039/C7RA00242D) und Pt/BFO/Pt; VCM-vs-Ferroelektrik explizit getrennt (Vacuum 2018)</w:t>
            </w:r>
          </w:p>
        </w:tc>
        <w:tc>
          <w:tcPr>
            <w:tcW w:type="dxa" w:w="12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SCHWER: ferroelektrisches Schalten als permanenter Confounder; Photovoltaik, Magnetoelektrik</w:t>
            </w:r>
          </w:p>
        </w:tc>
      </w:tr>
    </w:tbl>
    <w:p>
      <w:pPr>
        <w:pStyle w:val="Heading1"/>
        <w:spacing w:after="120" w:before="240"/>
      </w:pPr>
      <w:r>
        <w:t xml:space="preserve">Teilweise erfüllt: definierte Lücken als mögliche Programmziele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572"/>
      </w:tblGrid>
      <w:tr>
        <w:tc>
          <w:tcPr>
            <w:tcW w:type="dxa" w:w="1900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System</w:t>
            </w:r>
          </w:p>
        </w:tc>
        <w:tc>
          <w:tcPr>
            <w:tcW w:type="dxa" w:w="4600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Befund</w:t>
            </w:r>
          </w:p>
        </w:tc>
        <w:tc>
          <w:tcPr>
            <w:tcW w:type="dxa" w:w="2572"/>
            <w:shd w:fill="E8ED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Lücke / Chance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Pr0.1Ce0.9O2-δ (PCO)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1a+1b ideal: operando XPS/XAS Pr3+/Pr4+ vs. δ (Chem. Mater. 30, 2600 (2018)) + Tuller-Defektgleichgewichte mit Bildungsenthalpien (PCCP 13, 2011, 10.1039/c0cp02920c). Achse 2 fehlt komplett.</w:t>
            </w:r>
          </w:p>
        </w:tc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Pt/PCO/Nb:STO- oder Pt/PCO/Pt-Zelle bauen – niedrigst hängende Frucht des Screenings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La1-xSrxCoO3-δ (LSCO)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 exzellent (Saitoh PRB 56, 1290 (1997) vs. x; Orikasa JPCC 2011 vs. δ); 1b exzellent, Kovalenz→EV explizit (Mefford 2016; Mizusaki 1989 experimentell). Achse 2: nur Ag-Devices (Fu, APL 104, 223505 (2014)).</w:t>
            </w:r>
          </w:p>
        </w:tc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Direkt relevant für Phase-2-Baustein des Programms: Serie über das ERFÜLLTE Endglied SrCoOx de-risken (Analogie LSFO↔SrFeOx) + eigenes Pt/Au-Device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NdNiO3-δ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 erfüllt (Hepting Nat. Mater. 2020; Bisogni Nat. Commun. 2016); 1b teilweise (Heo Sci. Rep. 2017: &gt;6 Größenordnungen R(δ)); 2: O-Redox-Memristor existiert, aber mit reaktivem MoSi-Top (Humbert, Adv. Sci. 9, 2201753 (2022)); Pt/Pd-Devices nur protonisch.</w:t>
            </w:r>
          </w:p>
        </w:tc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Au/NNO/Nb:STO-Variante als definierbare Lücke; Confounder: scharfer MIT ~200 K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LaNiO3-δ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 erfüllt (Abbate PRB 65, 155101 (2002)); 1b erfüllt (Malashevich/Ismail-Beigi PRB 92, 144102 (2015)); 2: nur TiN-aktive Zelle (Kim, Materials 16, 4992 (2023)). Kein MIT-Confounder.</w:t>
            </w:r>
          </w:p>
        </w:tc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Edelmetall-Variante fehlt; sonst sauberster Nickelat-Kandidat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La2-xSrxCuO4 (Kuprat)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 kanonisch (C. T. Chen, PRL 66, 104 (1991) – die Referenz-Lochdotierungs-XAS); 1b DFT apikal/äquatorial (Sci. Rep. 12, 2022); 2 fehlt (nur Gating, 3-Terminal).</w:t>
            </w:r>
          </w:p>
        </w:tc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Device-Lücke = Chance; Familienanker YBCO ist bereits erfüllt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h-RMnO3 (YMnO3, ErMnO3, hexagonal)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1b erfüllt – interstitielles Sauerstoff-Defektsystem (Skjærvø, Nat. Commun. 7, 13745 (2016)); 2 erfüllt (Au/YMnO3/Pt, AIP Adv. 4, 107135 (2014); ErMnO3, Commun. Mater. 2025); 1a fehlt (keine XAS-Serie vs. δ).</w:t>
            </w:r>
          </w:p>
        </w:tc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Inverser Fall: Device da, Spektroskopie-Serie wäre der eigene Beitrag; Confounder Ferroelektrizität/Domänenwände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La1-xCaxMnO3 (LCMO)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1a/1b stark (O-2p-Loch-XAS vs. Ca; Defektchemie); 2 scheitert wie bei LSMO: alle Devices Ag-/Al-aktiv.</w:t>
            </w:r>
          </w:p>
        </w:tc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Gleiche Elektroden-Lücke wie das ausgeschiedene LSMO – nur mit besserer 1a/1b-Basis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Bi2Sr2CaCu2O8+δ (Bi-2212)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1a erfüllt (Nücker PRB 39, 6619 (1989)); 2 mit Inert-Elektroden vorhanden (Pt/Bi-2212/Au, APL 101, 043507 (2012)) – aber H-Ionen-Mechanismus.</w:t>
            </w:r>
          </w:p>
        </w:tc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O-basierte Inert-Variante offen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(MgxCo,Ni,Cu,Zn)O (Entropie-stabilisiert)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Kompositionsabhängige Defektbildung im Device quantifiziert (Nat. Electron. 7, 2024) – aber Ti an aktiver Grenzfläche; 1a fehlt.</w:t>
            </w:r>
          </w:p>
        </w:tc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Beste Kompositions-Tunability des Sweeps; Pt-only-Kontakttest wäre Programmbaustein</w:t>
            </w:r>
          </w:p>
        </w:tc>
      </w:tr>
    </w:tbl>
    <w:p>
      <w:pPr>
        <w:pStyle w:val="Heading1"/>
        <w:spacing w:after="120" w:before="240"/>
      </w:pPr>
      <w:r>
        <w:t xml:space="preserve">Nicht erfüllt / verworfen</w:t>
      </w:r>
    </w:p>
    <w:p>
      <w:pPr>
        <w:spacing w:after="100"/>
      </w:pPr>
      <w:r>
        <w:t xml:space="preserve">GCMO (nur Al-aktiv) · Nd1-xSrxMnO3, Sm1-xCaxMnO3, La1-xCaxFeO3 (keine qualifizierenden Devices) · Sr2FeMoO6, Sr3Fe2O7-δ, (La,Sr)3Mn2O7, PrBaMn2O5+δ, Stannate (BaSnO3/SrSnO3), CaTiO3, STVO (kein RS-Device) · SrVO3/La1-xSrxVO3 (nur Ag-Device) · YSZ (1a/1b erfüllt, aber alle Stacks mit Zr/TiN reaktiv) · Nb:SrTiO3 (Device sauber, aber Kovalenzachse dokumentiert abwesend; Adsorbat-Artefakt) · Cr:SrTiO3 (historisch stark, Elektroden-Stacks nicht verifizierbar – Volltext-Check nötig) · BST, WO3-x, Bi2MoO6, La2NiFeO6, Bi2Ti2O7, Fe3O4 (jeweils nur Teilkriterien) · SmNiO3 (exzellente Devices, aber durchgängig protonisch) · NCCO (Ag-Altlast) · High-Entropy-Perowskite (Watchlist).</w:t>
      </w:r>
    </w:p>
    <w:p>
      <w:pPr>
        <w:pStyle w:val="Heading1"/>
        <w:spacing w:after="120" w:before="240"/>
      </w:pPr>
      <w:r>
        <w:t xml:space="preserve">Einordnung und Empfehlung</w:t>
      </w:r>
    </w:p>
    <w:p>
      <w:pPr>
        <w:spacing w:after="100"/>
      </w:pPr>
      <w:r>
        <w:t xml:space="preserve">1. Kartenerweiterung über die Perowskite hinaus: YBa2Cu3O7-δ ist der stärkste Neuzugang – einziges neues System mit etablierter, mehrfach replizierter Au/Au-Plattform plus feinst einstellbarer Sauerstoffachse (Kettensauerstoff, Ortho-Ordnung) und platzaufgelöster Kovalenz-Spektroskopie. Es erweitert die „Treasure Map“ um die Kuprat-Bindungsklasse (Ladungstransfer-Regime, Ligandenlöcher) und um eine zweite Strukturfamilie. Epitaktische Au/YBCO-Zellen statt Keramik wären der eigene Beitrag.</w:t>
      </w:r>
    </w:p>
    <w:p>
      <w:pPr>
        <w:spacing w:after="100"/>
      </w:pPr>
      <w:r>
        <w:t xml:space="preserve">2. Symmetrie-Argument für das Gruppenprogramm: SrCoOx erfüllt alle drei Kriterien – damit ist die geplante Phase-2-Serie La1-xSrxCoO3-δ genauso über ihr Endglied de-riskbar wie die LSFO-Serie über SrFeOx (LSCO selbst: 1a/1b exzellent inkl. explizitem Kovalenz→EV-Link bei Mefford 2016, Achse 2 bisher nur Ag-Devices). Empfehlung: LSCO-Baustein beibehalten und das Achse-2-Kriterium über SrCoOx-Anker + eigenes Pt/Au-Device schließen.</w:t>
      </w:r>
    </w:p>
    <w:p>
      <w:pPr>
        <w:spacing w:after="100"/>
      </w:pPr>
      <w:r>
        <w:t xml:space="preserve">3. Fluorit-Klasse als Deskriptor-Test außerhalb der Perowskite: Gd:CeO2 (Pt/Pt-Crossbar mit x-Serie im Device, Schmitt/Rupp 2017 – bereits im Antragsapparat zitiert) und Sm:CeO2 erfüllen die Kriterien; Pr:CeO2 hat die beste 1a/1b-Basis (Tuller-Defektchemie, operando-Spektroskopie) und nur die Device-Lücke. Ein Ceria-Arbeitspaket würde prüfen, ob die Kovalenz–EV–Schalt-Korrelation über die Perowskit-Klasse hinaus trägt – der schärfste Generalisierungstest der Karte. Einschränkung: die „Kovalenzachse“ läuft hier über Ce-4f-Hybridisierung/δ, nicht über eine O-2p-Lochserie.</w:t>
      </w:r>
    </w:p>
    <w:p>
      <w:pPr>
        <w:spacing w:after="100"/>
      </w:pPr>
      <w:r>
        <w:t xml:space="preserve">4. Watchlist mit definierten Lücken: PCO (Device bauen), NdNiO3-δ/LaNiO3-δ (Edelmetall-Variante), La2-xSrxCuO4 (Device), h-RMnO3 (XAS-Serie – inverser Fall). BiFeO3 trotz erfüllter Kriterien nur mit Vorbehalt (Ferroelektrik-Confounder erfordert dedizierte Kontrollexperimente).</w:t>
      </w:r>
    </w:p>
    <w:p>
      <w:pPr>
        <w:spacing w:after="100"/>
      </w:pPr>
      <w:r>
        <w:t xml:space="preserve">5. Negativbefunde stützen das Ausschluss-Kriterium: LCMO scheitert exakt wie LSMO an der Elektrodenfrage; YSZ und SmNiO3 zeigen, dass auch reife Materialklassen an je einem Glied scheitern können (Elektroden bzw. Protonen-Mechanismus).</w:t>
      </w:r>
    </w:p>
    <w:p>
      <w:pPr>
        <w:pStyle w:val="Heading1"/>
        <w:spacing w:after="120" w:before="240"/>
      </w:pPr>
      <w:r>
        <w:t xml:space="preserve">Verifikations-Restpunkte</w:t>
      </w:r>
    </w:p>
    <w:p>
      <w:pPr>
        <w:spacing w:after="100"/>
      </w:pPr>
      <w:r>
        <w:t xml:space="preserve">• Cr:SrTiO3: Elektroden-Stacks der historischen Arbeiten (Watanabe APL 2001, Janousch 2007) am Volltext prüfen (Proxy-Sperren). • BST-Device-DOI (AIP Adv. 2, 032166) ungeprüft. • YBCO: epitaktische (nicht-keramische) Au-Zellen recherchieren, bevor ein Arbeitspaket formuliert wird. • Ba1-xSrxFeO3-δ als kontinuierliche A-Platz-Serie (jenseits der SrFeOx-δ-Achse) wenig belegt – vor Aufnahme prüfen. • Vor Aufnahme neuer Systeme in Anträge: Einzelreferenz-Verifikation wie beim Bestandsportfolio.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2026-08-09T17:46:24.518Z</dcterms:created>
  <dcterms:modified xsi:type="dcterms:W3CDTF">2026-08-09T17:46:24.520Z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